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7D594E">
      <w:pPr>
        <w:spacing w:before="480" w:beforeLines="200" w:after="240" w:afterLines="100" w:line="360" w:lineRule="auto"/>
        <w:jc w:val="center"/>
        <w:rPr>
          <w:rFonts w:ascii="黑体" w:hAnsi="黑体" w:eastAsia="黑体"/>
          <w:b/>
          <w:sz w:val="32"/>
          <w:szCs w:val="32"/>
        </w:rPr>
      </w:pPr>
      <w:r>
        <w:rPr>
          <w:rFonts w:hint="eastAsia" w:ascii="黑体" w:hAnsi="黑体" w:eastAsia="黑体"/>
          <w:b/>
          <w:sz w:val="32"/>
          <w:szCs w:val="32"/>
        </w:rPr>
        <w:t>旅游与会展学院202</w:t>
      </w:r>
      <w:r>
        <w:rPr>
          <w:rFonts w:hint="eastAsia" w:ascii="黑体" w:hAnsi="黑体" w:eastAsia="黑体"/>
          <w:b/>
          <w:sz w:val="32"/>
          <w:szCs w:val="32"/>
          <w:lang w:val="en-US" w:eastAsia="zh-CN"/>
        </w:rPr>
        <w:t>4</w:t>
      </w:r>
      <w:r>
        <w:rPr>
          <w:rFonts w:hint="eastAsia" w:ascii="黑体" w:hAnsi="黑体" w:eastAsia="黑体"/>
          <w:b/>
          <w:sz w:val="32"/>
          <w:szCs w:val="32"/>
        </w:rPr>
        <w:t>级本科学生</w:t>
      </w:r>
    </w:p>
    <w:p w14:paraId="47FB7D40">
      <w:pPr>
        <w:spacing w:before="240" w:beforeLines="100" w:after="240" w:afterLines="100" w:line="360" w:lineRule="auto"/>
        <w:jc w:val="center"/>
        <w:rPr>
          <w:rFonts w:ascii="黑体" w:hAnsi="黑体" w:eastAsia="黑体"/>
          <w:b/>
          <w:sz w:val="32"/>
          <w:szCs w:val="32"/>
        </w:rPr>
      </w:pPr>
      <w:r>
        <w:rPr>
          <w:rFonts w:hint="eastAsia" w:ascii="黑体" w:hAnsi="黑体" w:eastAsia="黑体"/>
          <w:b/>
          <w:sz w:val="32"/>
          <w:szCs w:val="32"/>
        </w:rPr>
        <w:t>转专业考核方案</w:t>
      </w:r>
    </w:p>
    <w:p w14:paraId="756B1644">
      <w:pPr>
        <w:spacing w:line="300" w:lineRule="auto"/>
        <w:ind w:firstLine="560" w:firstLineChars="200"/>
        <w:rPr>
          <w:rFonts w:ascii="宋体" w:hAnsi="宋体" w:eastAsia="宋体"/>
          <w:sz w:val="28"/>
          <w:szCs w:val="28"/>
        </w:rPr>
      </w:pPr>
      <w:r>
        <w:rPr>
          <w:rFonts w:hint="eastAsia" w:ascii="宋体" w:hAnsi="宋体" w:eastAsia="宋体"/>
          <w:sz w:val="28"/>
          <w:szCs w:val="28"/>
        </w:rPr>
        <w:t>根据《</w:t>
      </w:r>
      <w:r>
        <w:rPr>
          <w:rFonts w:hint="eastAsia" w:ascii="宋体" w:hAnsi="宋体" w:eastAsia="宋体"/>
          <w:sz w:val="28"/>
          <w:szCs w:val="28"/>
          <w:lang w:val="en-US" w:eastAsia="zh-CN"/>
        </w:rPr>
        <w:t>合肥大学全日制本科转专业实施办法</w:t>
      </w:r>
      <w:r>
        <w:rPr>
          <w:rFonts w:hint="eastAsia" w:ascii="宋体" w:hAnsi="宋体" w:eastAsia="宋体"/>
          <w:sz w:val="28"/>
          <w:szCs w:val="28"/>
        </w:rPr>
        <w:t>（院行政【20</w:t>
      </w:r>
      <w:r>
        <w:rPr>
          <w:rFonts w:hint="eastAsia" w:ascii="宋体" w:hAnsi="宋体" w:eastAsia="宋体"/>
          <w:sz w:val="28"/>
          <w:szCs w:val="28"/>
          <w:lang w:val="en-US" w:eastAsia="zh-CN"/>
        </w:rPr>
        <w:t>24</w:t>
      </w:r>
      <w:r>
        <w:rPr>
          <w:rFonts w:hint="eastAsia" w:ascii="宋体" w:hAnsi="宋体" w:eastAsia="宋体"/>
          <w:sz w:val="28"/>
          <w:szCs w:val="28"/>
        </w:rPr>
        <w:t>】</w:t>
      </w:r>
      <w:r>
        <w:rPr>
          <w:rFonts w:hint="eastAsia" w:ascii="宋体" w:hAnsi="宋体" w:eastAsia="宋体"/>
          <w:sz w:val="28"/>
          <w:szCs w:val="28"/>
          <w:lang w:val="en-US" w:eastAsia="zh-CN"/>
        </w:rPr>
        <w:t>124</w:t>
      </w:r>
      <w:r>
        <w:rPr>
          <w:rFonts w:hint="eastAsia" w:ascii="宋体" w:hAnsi="宋体" w:eastAsia="宋体"/>
          <w:sz w:val="28"/>
          <w:szCs w:val="28"/>
        </w:rPr>
        <w:t>号》及《安徽省教育厅关于做好新生入学资格复查和学籍学历管理工作的通知（皖教秘学【2022】40号）》相关内容，本着公平、公正、公开的原则，对拟申请转入我院</w:t>
      </w:r>
      <w:r>
        <w:rPr>
          <w:rFonts w:hint="eastAsia" w:ascii="宋体" w:hAnsi="宋体" w:eastAsia="宋体"/>
          <w:sz w:val="28"/>
          <w:szCs w:val="28"/>
          <w:lang w:val="en-US" w:eastAsia="zh-CN"/>
        </w:rPr>
        <w:t>2024级</w:t>
      </w:r>
      <w:r>
        <w:rPr>
          <w:rFonts w:hint="eastAsia" w:ascii="宋体" w:hAnsi="宋体" w:eastAsia="宋体"/>
          <w:sz w:val="28"/>
          <w:szCs w:val="28"/>
        </w:rPr>
        <w:t>本科专业学生制定本考核方案。</w:t>
      </w:r>
    </w:p>
    <w:p w14:paraId="176F59EC">
      <w:pPr>
        <w:spacing w:line="300" w:lineRule="auto"/>
        <w:ind w:firstLine="562" w:firstLineChars="200"/>
        <w:rPr>
          <w:rFonts w:ascii="宋体" w:hAnsi="宋体" w:eastAsia="宋体"/>
          <w:b/>
          <w:sz w:val="28"/>
          <w:szCs w:val="28"/>
        </w:rPr>
      </w:pPr>
      <w:r>
        <w:rPr>
          <w:rFonts w:hint="eastAsia" w:ascii="宋体" w:hAnsi="宋体" w:eastAsia="宋体"/>
          <w:b/>
          <w:sz w:val="28"/>
          <w:szCs w:val="28"/>
        </w:rPr>
        <w:t>一、考核组织</w:t>
      </w:r>
    </w:p>
    <w:p w14:paraId="63A27A1D">
      <w:pPr>
        <w:spacing w:line="300" w:lineRule="auto"/>
        <w:ind w:firstLine="560" w:firstLineChars="200"/>
        <w:rPr>
          <w:rFonts w:ascii="宋体" w:hAnsi="宋体" w:eastAsia="宋体"/>
          <w:sz w:val="28"/>
          <w:szCs w:val="28"/>
        </w:rPr>
      </w:pPr>
      <w:r>
        <w:rPr>
          <w:rFonts w:hint="eastAsia" w:ascii="宋体" w:hAnsi="宋体" w:eastAsia="宋体"/>
          <w:sz w:val="28"/>
          <w:szCs w:val="28"/>
        </w:rPr>
        <w:t>1、考核小组：成立转专业面试考核小组，共由7名老师组成，考核小组成员从院教学委员会成员和院务委员会成员中产生。</w:t>
      </w:r>
    </w:p>
    <w:p w14:paraId="41848073">
      <w:pPr>
        <w:keepNext w:val="0"/>
        <w:keepLines w:val="0"/>
        <w:pageBreakBefore w:val="0"/>
        <w:widowControl/>
        <w:kinsoku/>
        <w:wordWrap/>
        <w:overflowPunct/>
        <w:topLinePunct w:val="0"/>
        <w:autoSpaceDE/>
        <w:autoSpaceDN/>
        <w:bidi w:val="0"/>
        <w:adjustRightInd w:val="0"/>
        <w:snapToGrid w:val="0"/>
        <w:spacing w:line="300" w:lineRule="auto"/>
        <w:ind w:firstLine="560" w:firstLineChars="200"/>
        <w:textAlignment w:val="auto"/>
        <w:rPr>
          <w:rFonts w:hint="eastAsia" w:ascii="宋体" w:hAnsi="宋体" w:eastAsia="宋体"/>
          <w:sz w:val="28"/>
          <w:szCs w:val="28"/>
          <w:lang w:eastAsia="zh-CN"/>
        </w:rPr>
      </w:pPr>
      <w:r>
        <w:rPr>
          <w:rFonts w:hint="eastAsia" w:ascii="宋体" w:hAnsi="宋体" w:eastAsia="宋体"/>
          <w:sz w:val="28"/>
          <w:szCs w:val="28"/>
        </w:rPr>
        <w:t>2、评分规则：百分制计分，满分100分，最后总成绩取考核小组所有成员平均分；转专业录取按</w:t>
      </w:r>
      <w:r>
        <w:rPr>
          <w:rFonts w:hint="eastAsia" w:ascii="宋体" w:hAnsi="宋体" w:eastAsia="宋体"/>
          <w:sz w:val="28"/>
          <w:szCs w:val="28"/>
          <w:lang w:val="en-US" w:eastAsia="zh-CN"/>
        </w:rPr>
        <w:t>笔试（60%）+</w:t>
      </w:r>
      <w:r>
        <w:rPr>
          <w:rFonts w:hint="eastAsia" w:ascii="宋体" w:hAnsi="宋体" w:eastAsia="宋体"/>
          <w:sz w:val="28"/>
          <w:szCs w:val="28"/>
        </w:rPr>
        <w:t>面试</w:t>
      </w:r>
      <w:r>
        <w:rPr>
          <w:rFonts w:hint="eastAsia" w:ascii="宋体" w:hAnsi="宋体" w:eastAsia="宋体"/>
          <w:sz w:val="28"/>
          <w:szCs w:val="28"/>
          <w:lang w:eastAsia="zh-CN"/>
        </w:rPr>
        <w:t>（</w:t>
      </w:r>
      <w:r>
        <w:rPr>
          <w:rFonts w:hint="eastAsia" w:ascii="宋体" w:hAnsi="宋体" w:eastAsia="宋体"/>
          <w:sz w:val="28"/>
          <w:szCs w:val="28"/>
          <w:lang w:val="en-US" w:eastAsia="zh-CN"/>
        </w:rPr>
        <w:t>40%</w:t>
      </w:r>
      <w:r>
        <w:rPr>
          <w:rFonts w:hint="eastAsia" w:ascii="宋体" w:hAnsi="宋体" w:eastAsia="宋体"/>
          <w:sz w:val="28"/>
          <w:szCs w:val="28"/>
          <w:lang w:eastAsia="zh-CN"/>
        </w:rPr>
        <w:t>）</w:t>
      </w:r>
      <w:r>
        <w:rPr>
          <w:rFonts w:hint="eastAsia" w:ascii="宋体" w:hAnsi="宋体" w:eastAsia="宋体"/>
          <w:sz w:val="28"/>
          <w:szCs w:val="28"/>
        </w:rPr>
        <w:t>成绩自高往低排列；笔试不合格者不予进入面试</w:t>
      </w:r>
      <w:r>
        <w:rPr>
          <w:rFonts w:hint="eastAsia" w:ascii="宋体" w:hAnsi="宋体" w:eastAsia="宋体"/>
          <w:sz w:val="28"/>
          <w:szCs w:val="28"/>
          <w:lang w:eastAsia="zh-CN"/>
        </w:rPr>
        <w:t>，</w:t>
      </w:r>
      <w:r>
        <w:rPr>
          <w:rFonts w:hint="eastAsia" w:ascii="宋体" w:hAnsi="宋体" w:eastAsia="宋体"/>
          <w:sz w:val="28"/>
          <w:szCs w:val="28"/>
          <w:lang w:val="en-US" w:eastAsia="zh-CN"/>
        </w:rPr>
        <w:t>综合成绩</w:t>
      </w:r>
      <w:r>
        <w:rPr>
          <w:rFonts w:hint="eastAsia" w:ascii="宋体" w:hAnsi="宋体" w:eastAsia="宋体"/>
          <w:sz w:val="28"/>
          <w:szCs w:val="28"/>
        </w:rPr>
        <w:t>低于60分者不得录取。具备转专业资格人数不超过专业接收人数的，</w:t>
      </w:r>
      <w:r>
        <w:rPr>
          <w:rFonts w:hint="eastAsia" w:ascii="宋体" w:hAnsi="宋体" w:eastAsia="宋体"/>
          <w:sz w:val="28"/>
          <w:szCs w:val="28"/>
          <w:lang w:val="en-US" w:eastAsia="zh-CN"/>
        </w:rPr>
        <w:t>本院</w:t>
      </w:r>
      <w:r>
        <w:rPr>
          <w:rFonts w:hint="eastAsia" w:ascii="宋体" w:hAnsi="宋体" w:eastAsia="宋体"/>
          <w:sz w:val="28"/>
          <w:szCs w:val="28"/>
        </w:rPr>
        <w:t>只安排面试</w:t>
      </w:r>
      <w:r>
        <w:rPr>
          <w:rFonts w:hint="eastAsia" w:ascii="宋体" w:hAnsi="宋体" w:eastAsia="宋体"/>
          <w:sz w:val="28"/>
          <w:szCs w:val="28"/>
          <w:lang w:eastAsia="zh-CN"/>
        </w:rPr>
        <w:t>。</w:t>
      </w:r>
      <w:r>
        <w:rPr>
          <w:rFonts w:hint="eastAsia" w:ascii="宋体" w:hAnsi="宋体" w:eastAsia="宋体"/>
          <w:sz w:val="28"/>
          <w:szCs w:val="28"/>
        </w:rPr>
        <w:t>面试成绩自高往低排列</w:t>
      </w:r>
      <w:r>
        <w:rPr>
          <w:rFonts w:hint="eastAsia" w:ascii="宋体" w:hAnsi="宋体" w:eastAsia="宋体"/>
          <w:sz w:val="28"/>
          <w:szCs w:val="28"/>
          <w:lang w:eastAsia="zh-CN"/>
        </w:rPr>
        <w:t>，</w:t>
      </w:r>
      <w:r>
        <w:rPr>
          <w:rFonts w:hint="eastAsia" w:ascii="宋体" w:hAnsi="宋体" w:eastAsia="宋体"/>
          <w:sz w:val="28"/>
          <w:szCs w:val="28"/>
        </w:rPr>
        <w:t>低于60分者不得录取。</w:t>
      </w:r>
    </w:p>
    <w:p w14:paraId="100589FF">
      <w:pPr>
        <w:spacing w:line="300" w:lineRule="auto"/>
        <w:ind w:firstLine="560" w:firstLineChars="200"/>
        <w:rPr>
          <w:rFonts w:hint="default" w:ascii="宋体" w:hAnsi="宋体" w:eastAsia="宋体"/>
          <w:sz w:val="28"/>
          <w:szCs w:val="28"/>
          <w:lang w:val="en-US" w:eastAsia="zh-CN"/>
        </w:rPr>
      </w:pPr>
      <w:r>
        <w:rPr>
          <w:rFonts w:hint="eastAsia" w:ascii="宋体" w:hAnsi="宋体" w:eastAsia="宋体"/>
          <w:sz w:val="28"/>
          <w:szCs w:val="28"/>
          <w:lang w:val="en-US" w:eastAsia="zh-CN"/>
        </w:rPr>
        <w:t>3、考核过程及考核计分由院纪委全程监督。旅游与会展学院纪委电话：62159127。</w:t>
      </w:r>
    </w:p>
    <w:p w14:paraId="72D60595">
      <w:pPr>
        <w:spacing w:line="300" w:lineRule="auto"/>
        <w:rPr>
          <w:rFonts w:hint="eastAsia" w:ascii="宋体" w:hAnsi="宋体" w:eastAsia="宋体"/>
          <w:b/>
          <w:sz w:val="28"/>
          <w:szCs w:val="28"/>
        </w:rPr>
      </w:pPr>
      <w:r>
        <w:rPr>
          <w:rFonts w:hint="eastAsia" w:ascii="宋体" w:hAnsi="宋体" w:eastAsia="宋体"/>
          <w:b/>
          <w:sz w:val="28"/>
          <w:szCs w:val="28"/>
        </w:rPr>
        <w:t>二、考核内容</w:t>
      </w:r>
    </w:p>
    <w:p w14:paraId="3412EA84">
      <w:pPr>
        <w:keepNext w:val="0"/>
        <w:keepLines w:val="0"/>
        <w:pageBreakBefore w:val="0"/>
        <w:widowControl/>
        <w:kinsoku/>
        <w:wordWrap/>
        <w:overflowPunct/>
        <w:topLinePunct w:val="0"/>
        <w:autoSpaceDE/>
        <w:autoSpaceDN/>
        <w:bidi w:val="0"/>
        <w:adjustRightInd w:val="0"/>
        <w:snapToGrid w:val="0"/>
        <w:spacing w:line="300" w:lineRule="auto"/>
        <w:textAlignment w:val="auto"/>
        <w:rPr>
          <w:rFonts w:hint="default" w:ascii="宋体" w:hAnsi="宋体" w:eastAsia="宋体"/>
          <w:sz w:val="28"/>
          <w:szCs w:val="28"/>
          <w:lang w:val="en-US" w:eastAsia="zh-CN"/>
        </w:rPr>
      </w:pPr>
      <w:r>
        <w:rPr>
          <w:rFonts w:hint="eastAsia" w:ascii="宋体" w:hAnsi="宋体" w:eastAsia="宋体"/>
          <w:sz w:val="28"/>
          <w:szCs w:val="28"/>
          <w:lang w:val="en-US" w:eastAsia="zh-CN"/>
        </w:rPr>
        <w:t>1、笔试部分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2039"/>
        <w:gridCol w:w="3855"/>
        <w:gridCol w:w="1020"/>
      </w:tblGrid>
      <w:tr w14:paraId="2F800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tcPr>
          <w:p w14:paraId="0A7D596F">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考核部分</w:t>
            </w:r>
          </w:p>
        </w:tc>
        <w:tc>
          <w:tcPr>
            <w:tcW w:w="2039" w:type="dxa"/>
          </w:tcPr>
          <w:p w14:paraId="4360BCDD">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考核内容</w:t>
            </w:r>
          </w:p>
        </w:tc>
        <w:tc>
          <w:tcPr>
            <w:tcW w:w="3855" w:type="dxa"/>
          </w:tcPr>
          <w:p w14:paraId="67564B4E">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考核范围</w:t>
            </w:r>
          </w:p>
        </w:tc>
        <w:tc>
          <w:tcPr>
            <w:tcW w:w="1020" w:type="dxa"/>
          </w:tcPr>
          <w:p w14:paraId="222414BE">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备注</w:t>
            </w:r>
          </w:p>
        </w:tc>
      </w:tr>
      <w:tr w14:paraId="4735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tcPr>
          <w:p w14:paraId="4F699C06">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公共基础知识部分（40%）</w:t>
            </w:r>
          </w:p>
        </w:tc>
        <w:tc>
          <w:tcPr>
            <w:tcW w:w="2039" w:type="dxa"/>
          </w:tcPr>
          <w:p w14:paraId="18E538ED">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旅游与会展行业概述</w:t>
            </w:r>
          </w:p>
          <w:p w14:paraId="06A2A0DE">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3855" w:type="dxa"/>
          </w:tcPr>
          <w:p w14:paraId="6F6AB3BF">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旅游与会展的定义、发展历程及趋势。</w:t>
            </w:r>
          </w:p>
          <w:p w14:paraId="3DB564C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全球及国内旅游与会展市场的现状分析。</w:t>
            </w:r>
          </w:p>
        </w:tc>
        <w:tc>
          <w:tcPr>
            <w:tcW w:w="1020" w:type="dxa"/>
          </w:tcPr>
          <w:p w14:paraId="74540DC6">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666A9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1FBF804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2039" w:type="dxa"/>
          </w:tcPr>
          <w:p w14:paraId="0AE0188B">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管理学基础</w:t>
            </w:r>
          </w:p>
        </w:tc>
        <w:tc>
          <w:tcPr>
            <w:tcW w:w="3855" w:type="dxa"/>
          </w:tcPr>
          <w:p w14:paraId="3AD68769">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管理的基本概念、原则与职能。</w:t>
            </w:r>
          </w:p>
          <w:p w14:paraId="1A203437">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组织结构与设计、领导力与激励理论。</w:t>
            </w:r>
          </w:p>
        </w:tc>
        <w:tc>
          <w:tcPr>
            <w:tcW w:w="1020" w:type="dxa"/>
          </w:tcPr>
          <w:p w14:paraId="31B4B5C5">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742B4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7C092FFC">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2039" w:type="dxa"/>
          </w:tcPr>
          <w:p w14:paraId="1CB5EC23">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经济学原理</w:t>
            </w:r>
          </w:p>
        </w:tc>
        <w:tc>
          <w:tcPr>
            <w:tcW w:w="3855" w:type="dxa"/>
          </w:tcPr>
          <w:p w14:paraId="38B2E185">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微观经济学与宏观经济学基础。</w:t>
            </w:r>
          </w:p>
          <w:p w14:paraId="26CB86CC">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市场需求与供给分析、价格理论。</w:t>
            </w:r>
          </w:p>
        </w:tc>
        <w:tc>
          <w:tcPr>
            <w:tcW w:w="1020" w:type="dxa"/>
          </w:tcPr>
          <w:p w14:paraId="12DDA290">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72659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7CC85D8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2039" w:type="dxa"/>
          </w:tcPr>
          <w:p w14:paraId="755C240B">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文化与沟通</w:t>
            </w:r>
          </w:p>
          <w:p w14:paraId="315E1D85">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eastAsia" w:ascii="宋体" w:hAnsi="宋体" w:eastAsia="宋体"/>
                <w:sz w:val="24"/>
                <w:szCs w:val="24"/>
                <w:lang w:val="en-US" w:eastAsia="zh-CN"/>
              </w:rPr>
            </w:pPr>
          </w:p>
        </w:tc>
        <w:tc>
          <w:tcPr>
            <w:tcW w:w="3855" w:type="dxa"/>
          </w:tcPr>
          <w:p w14:paraId="0AFC8110">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跨文化交流的重要性与技巧。</w:t>
            </w:r>
          </w:p>
          <w:p w14:paraId="48F32FB3">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商务沟通与谈判技巧。</w:t>
            </w:r>
          </w:p>
        </w:tc>
        <w:tc>
          <w:tcPr>
            <w:tcW w:w="1020" w:type="dxa"/>
          </w:tcPr>
          <w:p w14:paraId="6494B140">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11655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tcPr>
          <w:p w14:paraId="67FA858B">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专业方向知识部分（30%）</w:t>
            </w:r>
          </w:p>
        </w:tc>
        <w:tc>
          <w:tcPr>
            <w:tcW w:w="2039" w:type="dxa"/>
          </w:tcPr>
          <w:p w14:paraId="5BEFC6F9">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旅游管理专业方向</w:t>
            </w:r>
          </w:p>
        </w:tc>
        <w:tc>
          <w:tcPr>
            <w:tcW w:w="3855" w:type="dxa"/>
          </w:tcPr>
          <w:p w14:paraId="563D028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旅游市场与消费者行为</w:t>
            </w:r>
          </w:p>
          <w:p w14:paraId="41713B05">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旅游地理与文化</w:t>
            </w:r>
          </w:p>
        </w:tc>
        <w:tc>
          <w:tcPr>
            <w:tcW w:w="1020" w:type="dxa"/>
          </w:tcPr>
          <w:p w14:paraId="3D406275">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1B2C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564BDF23">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2039" w:type="dxa"/>
          </w:tcPr>
          <w:p w14:paraId="3B9E2958">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酒店管理专业方向</w:t>
            </w:r>
          </w:p>
        </w:tc>
        <w:tc>
          <w:tcPr>
            <w:tcW w:w="3855" w:type="dxa"/>
          </w:tcPr>
          <w:p w14:paraId="613455DF">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酒店运营管理</w:t>
            </w:r>
          </w:p>
          <w:p w14:paraId="38942EE3">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酒店市场营销</w:t>
            </w:r>
          </w:p>
        </w:tc>
        <w:tc>
          <w:tcPr>
            <w:tcW w:w="1020" w:type="dxa"/>
          </w:tcPr>
          <w:p w14:paraId="555F529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67A64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0D90097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2039" w:type="dxa"/>
          </w:tcPr>
          <w:p w14:paraId="1BF5A779">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会展经济与管理专业方向</w:t>
            </w:r>
          </w:p>
        </w:tc>
        <w:tc>
          <w:tcPr>
            <w:tcW w:w="3855" w:type="dxa"/>
          </w:tcPr>
          <w:p w14:paraId="259969A1">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会展项目管理</w:t>
            </w:r>
          </w:p>
          <w:p w14:paraId="402A61A9">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会展市场营销与策划</w:t>
            </w:r>
          </w:p>
        </w:tc>
        <w:tc>
          <w:tcPr>
            <w:tcW w:w="1020" w:type="dxa"/>
          </w:tcPr>
          <w:p w14:paraId="7470C3EB">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7A8AC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restart"/>
          </w:tcPr>
          <w:p w14:paraId="40E195DC">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综合应用能力部分（30%）</w:t>
            </w:r>
          </w:p>
        </w:tc>
        <w:tc>
          <w:tcPr>
            <w:tcW w:w="2039" w:type="dxa"/>
          </w:tcPr>
          <w:p w14:paraId="20318F6A">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案例分析</w:t>
            </w:r>
          </w:p>
        </w:tc>
        <w:tc>
          <w:tcPr>
            <w:tcW w:w="3855" w:type="dxa"/>
          </w:tcPr>
          <w:p w14:paraId="656AB02C">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提供酒店或会展行业的实际案例，要求考生分析问题、提出解决方案。</w:t>
            </w:r>
          </w:p>
        </w:tc>
        <w:tc>
          <w:tcPr>
            <w:tcW w:w="1020" w:type="dxa"/>
          </w:tcPr>
          <w:p w14:paraId="510A46F7">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r w14:paraId="611D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Merge w:val="continue"/>
          </w:tcPr>
          <w:p w14:paraId="157D79BF">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c>
          <w:tcPr>
            <w:tcW w:w="2039" w:type="dxa"/>
          </w:tcPr>
          <w:p w14:paraId="4ED2DB23">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论述题</w:t>
            </w:r>
          </w:p>
        </w:tc>
        <w:tc>
          <w:tcPr>
            <w:tcW w:w="3855" w:type="dxa"/>
          </w:tcPr>
          <w:p w14:paraId="0790E540">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讨论旅游与会展行业的可持续发展策略。</w:t>
            </w:r>
          </w:p>
          <w:p w14:paraId="79E3C33F">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阐述技术进步（如数字化、智能化）对酒店及会展业的影响。</w:t>
            </w:r>
          </w:p>
        </w:tc>
        <w:tc>
          <w:tcPr>
            <w:tcW w:w="1020" w:type="dxa"/>
          </w:tcPr>
          <w:p w14:paraId="27606872">
            <w:pPr>
              <w:keepNext w:val="0"/>
              <w:keepLines w:val="0"/>
              <w:pageBreakBefore w:val="0"/>
              <w:widowControl/>
              <w:kinsoku/>
              <w:wordWrap/>
              <w:overflowPunct/>
              <w:topLinePunct w:val="0"/>
              <w:autoSpaceDE/>
              <w:autoSpaceDN/>
              <w:bidi w:val="0"/>
              <w:adjustRightInd w:val="0"/>
              <w:snapToGrid w:val="0"/>
              <w:spacing w:line="300" w:lineRule="auto"/>
              <w:jc w:val="both"/>
              <w:textAlignment w:val="auto"/>
              <w:rPr>
                <w:rFonts w:hint="default" w:ascii="宋体" w:hAnsi="宋体" w:eastAsia="宋体"/>
                <w:sz w:val="24"/>
                <w:szCs w:val="24"/>
                <w:lang w:val="en-US" w:eastAsia="zh-CN"/>
              </w:rPr>
            </w:pPr>
          </w:p>
        </w:tc>
      </w:tr>
    </w:tbl>
    <w:p w14:paraId="244D9196">
      <w:pPr>
        <w:spacing w:line="300" w:lineRule="auto"/>
        <w:rPr>
          <w:rFonts w:hint="default" w:ascii="宋体" w:hAnsi="宋体" w:eastAsia="宋体"/>
          <w:b/>
          <w:bCs/>
          <w:sz w:val="28"/>
          <w:szCs w:val="28"/>
          <w:lang w:val="en-US" w:eastAsia="zh-CN"/>
        </w:rPr>
      </w:pPr>
      <w:r>
        <w:rPr>
          <w:rFonts w:hint="eastAsia" w:ascii="宋体" w:hAnsi="宋体" w:eastAsia="宋体"/>
          <w:b/>
          <w:bCs/>
          <w:sz w:val="28"/>
          <w:szCs w:val="28"/>
          <w:lang w:val="en-US" w:eastAsia="zh-CN"/>
        </w:rPr>
        <w:t>2、面试部分</w:t>
      </w:r>
    </w:p>
    <w:p w14:paraId="4F10BFF1">
      <w:pPr>
        <w:spacing w:line="300" w:lineRule="auto"/>
        <w:rPr>
          <w:rFonts w:ascii="宋体" w:hAnsi="宋体" w:eastAsia="宋体"/>
          <w:sz w:val="28"/>
          <w:szCs w:val="28"/>
        </w:rPr>
      </w:pPr>
      <w:r>
        <w:rPr>
          <w:rFonts w:hint="eastAsia" w:ascii="宋体" w:hAnsi="宋体" w:eastAsia="宋体"/>
          <w:sz w:val="28"/>
          <w:szCs w:val="28"/>
        </w:rPr>
        <w:t>1、个人陈述（40分）</w:t>
      </w:r>
    </w:p>
    <w:p w14:paraId="07B2BF3D">
      <w:pPr>
        <w:spacing w:line="300" w:lineRule="auto"/>
        <w:ind w:firstLine="555"/>
        <w:rPr>
          <w:rFonts w:ascii="宋体" w:hAnsi="宋体" w:eastAsia="宋体"/>
          <w:sz w:val="28"/>
          <w:szCs w:val="28"/>
        </w:rPr>
      </w:pPr>
      <w:r>
        <w:rPr>
          <w:rFonts w:hint="eastAsia" w:ascii="宋体" w:hAnsi="宋体" w:eastAsia="宋体"/>
          <w:sz w:val="28"/>
          <w:szCs w:val="28"/>
        </w:rPr>
        <w:t>时间8分钟，陈述内容包括：个人及家庭情况、学业基本情况（需提供成绩单）、申请转专业的理由、对所申请专业的理解、今后学习的设想等。</w:t>
      </w:r>
    </w:p>
    <w:p w14:paraId="75EB0BEA">
      <w:pPr>
        <w:spacing w:line="300" w:lineRule="auto"/>
        <w:rPr>
          <w:rFonts w:ascii="宋体" w:hAnsi="宋体" w:eastAsia="宋体"/>
          <w:sz w:val="28"/>
          <w:szCs w:val="28"/>
        </w:rPr>
      </w:pPr>
      <w:r>
        <w:rPr>
          <w:rFonts w:hint="eastAsia" w:ascii="宋体" w:hAnsi="宋体" w:eastAsia="宋体"/>
          <w:sz w:val="28"/>
          <w:szCs w:val="28"/>
        </w:rPr>
        <w:t>2、回答问题（60分）</w:t>
      </w:r>
    </w:p>
    <w:p w14:paraId="61BC7D77">
      <w:pPr>
        <w:spacing w:line="300" w:lineRule="auto"/>
        <w:ind w:firstLine="555"/>
        <w:rPr>
          <w:rFonts w:hint="eastAsia" w:ascii="宋体" w:hAnsi="宋体" w:eastAsia="宋体"/>
          <w:sz w:val="28"/>
          <w:szCs w:val="28"/>
        </w:rPr>
      </w:pPr>
      <w:r>
        <w:rPr>
          <w:rFonts w:hint="eastAsia" w:ascii="宋体" w:hAnsi="宋体" w:eastAsia="宋体"/>
          <w:sz w:val="28"/>
          <w:szCs w:val="28"/>
        </w:rPr>
        <w:t>时间12分种，主要考核面试学生对拟转入专业领域的了解、完成学业的能力、创新思维、思想政治表现和综合素质等内容。</w:t>
      </w:r>
    </w:p>
    <w:p w14:paraId="45E4A609">
      <w:pPr>
        <w:spacing w:line="300" w:lineRule="auto"/>
        <w:rPr>
          <w:rFonts w:hint="default" w:ascii="宋体" w:hAnsi="宋体" w:eastAsia="宋体"/>
          <w:sz w:val="28"/>
          <w:szCs w:val="28"/>
          <w:lang w:val="en-US"/>
        </w:rPr>
      </w:pPr>
      <w:r>
        <w:rPr>
          <w:rFonts w:hint="eastAsia" w:ascii="宋体" w:hAnsi="宋体" w:eastAsia="宋体"/>
          <w:sz w:val="28"/>
          <w:szCs w:val="28"/>
          <w:lang w:val="en-US" w:eastAsia="zh-CN"/>
        </w:rPr>
        <w:t>3、学生面试专家考核表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5418"/>
        <w:gridCol w:w="830"/>
        <w:gridCol w:w="796"/>
      </w:tblGrid>
      <w:tr w14:paraId="31ECB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2" w:hRule="atLeast"/>
        </w:trPr>
        <w:tc>
          <w:tcPr>
            <w:tcW w:w="8522" w:type="dxa"/>
            <w:gridSpan w:val="4"/>
          </w:tcPr>
          <w:p w14:paraId="054A43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vertAlign w:val="baseline"/>
                <w:lang w:val="en-US" w:eastAsia="zh-CN"/>
              </w:rPr>
            </w:pPr>
          </w:p>
          <w:p w14:paraId="17F16F9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bCs/>
                <w:sz w:val="24"/>
                <w:szCs w:val="24"/>
                <w:u w:val="single"/>
                <w:vertAlign w:val="baseline"/>
                <w:lang w:val="en-US" w:eastAsia="zh-CN"/>
              </w:rPr>
            </w:pPr>
            <w:r>
              <w:rPr>
                <w:rFonts w:hint="eastAsia" w:ascii="宋体" w:hAnsi="宋体" w:eastAsia="宋体" w:cs="宋体"/>
                <w:b/>
                <w:bCs/>
                <w:sz w:val="24"/>
                <w:szCs w:val="24"/>
                <w:vertAlign w:val="baseline"/>
                <w:lang w:val="en-US" w:eastAsia="zh-CN"/>
              </w:rPr>
              <w:t>姓名：                           学号：</w:t>
            </w:r>
            <w:r>
              <w:rPr>
                <w:rFonts w:hint="eastAsia" w:ascii="宋体" w:hAnsi="宋体" w:eastAsia="宋体" w:cs="宋体"/>
                <w:b/>
                <w:bCs/>
                <w:sz w:val="24"/>
                <w:szCs w:val="24"/>
                <w:u w:val="none"/>
                <w:vertAlign w:val="baseline"/>
                <w:lang w:val="en-US" w:eastAsia="zh-CN"/>
              </w:rPr>
              <w:t xml:space="preserve">            </w:t>
            </w:r>
            <w:r>
              <w:rPr>
                <w:rFonts w:hint="eastAsia" w:ascii="宋体" w:hAnsi="宋体" w:eastAsia="宋体" w:cs="宋体"/>
                <w:b/>
                <w:bCs/>
                <w:sz w:val="24"/>
                <w:szCs w:val="24"/>
                <w:u w:val="none"/>
                <w:vertAlign w:val="baseline"/>
                <w:lang w:val="en-US" w:eastAsia="zh-CN"/>
              </w:rPr>
              <w:t xml:space="preserve"> </w:t>
            </w:r>
            <w:r>
              <w:rPr>
                <w:rFonts w:hint="eastAsia" w:ascii="宋体" w:hAnsi="宋体" w:eastAsia="宋体" w:cs="宋体"/>
                <w:b/>
                <w:bCs/>
                <w:sz w:val="24"/>
                <w:szCs w:val="24"/>
                <w:u w:val="single"/>
                <w:vertAlign w:val="baseline"/>
                <w:lang w:val="en-US" w:eastAsia="zh-CN"/>
              </w:rPr>
              <w:t xml:space="preserve">            </w:t>
            </w:r>
          </w:p>
          <w:p w14:paraId="02D68AC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vertAlign w:val="baseline"/>
                <w:lang w:val="en-US" w:eastAsia="zh-CN"/>
              </w:rPr>
            </w:pPr>
          </w:p>
          <w:p w14:paraId="76014AB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u w:val="single"/>
                <w:vertAlign w:val="baseline"/>
                <w:lang w:val="en-US" w:eastAsia="zh-CN"/>
              </w:rPr>
            </w:pPr>
            <w:r>
              <w:rPr>
                <w:rFonts w:hint="eastAsia" w:ascii="宋体" w:hAnsi="宋体" w:eastAsia="宋体" w:cs="宋体"/>
                <w:b/>
                <w:bCs/>
                <w:sz w:val="24"/>
                <w:szCs w:val="24"/>
                <w:vertAlign w:val="baseline"/>
                <w:lang w:val="en-US" w:eastAsia="zh-CN"/>
              </w:rPr>
              <w:t xml:space="preserve">原专业：              </w:t>
            </w:r>
            <w:bookmarkStart w:id="0" w:name="_GoBack"/>
            <w:bookmarkEnd w:id="0"/>
            <w:r>
              <w:rPr>
                <w:rFonts w:hint="eastAsia" w:ascii="宋体" w:hAnsi="宋体" w:eastAsia="宋体" w:cs="宋体"/>
                <w:b/>
                <w:bCs/>
                <w:sz w:val="24"/>
                <w:szCs w:val="24"/>
                <w:vertAlign w:val="baseline"/>
                <w:lang w:val="en-US" w:eastAsia="zh-CN"/>
              </w:rPr>
              <w:t xml:space="preserve">           意向专业：</w:t>
            </w:r>
            <w:r>
              <w:rPr>
                <w:rFonts w:hint="eastAsia" w:ascii="宋体" w:hAnsi="宋体" w:eastAsia="宋体" w:cs="宋体"/>
                <w:b/>
                <w:bCs/>
                <w:sz w:val="24"/>
                <w:szCs w:val="24"/>
                <w:u w:val="single"/>
                <w:vertAlign w:val="baseline"/>
                <w:lang w:val="en-US" w:eastAsia="zh-CN"/>
              </w:rPr>
              <w:t xml:space="preserve">            </w:t>
            </w:r>
          </w:p>
          <w:p w14:paraId="1C8A6A4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u w:val="none"/>
                <w:vertAlign w:val="baseline"/>
                <w:lang w:val="en-US" w:eastAsia="zh-CN"/>
              </w:rPr>
            </w:pPr>
          </w:p>
          <w:p w14:paraId="027AB35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u w:val="none"/>
                <w:vertAlign w:val="baseline"/>
                <w:lang w:val="en-US" w:eastAsia="zh-CN"/>
              </w:rPr>
            </w:pPr>
            <w:r>
              <w:rPr>
                <w:rFonts w:hint="eastAsia" w:ascii="宋体" w:hAnsi="宋体" w:eastAsia="宋体" w:cs="宋体"/>
                <w:b/>
                <w:bCs/>
                <w:sz w:val="24"/>
                <w:szCs w:val="24"/>
                <w:u w:val="none"/>
                <w:vertAlign w:val="baseline"/>
                <w:lang w:val="en-US" w:eastAsia="zh-CN"/>
              </w:rPr>
              <w:t>总成绩：</w:t>
            </w:r>
            <w:r>
              <w:rPr>
                <w:rFonts w:hint="eastAsia" w:ascii="宋体" w:hAnsi="宋体" w:eastAsia="宋体" w:cs="宋体"/>
                <w:b/>
                <w:bCs/>
                <w:sz w:val="24"/>
                <w:szCs w:val="24"/>
                <w:u w:val="single"/>
                <w:vertAlign w:val="baseline"/>
                <w:lang w:val="en-US" w:eastAsia="zh-CN"/>
              </w:rPr>
              <w:t xml:space="preserve">              </w:t>
            </w:r>
          </w:p>
        </w:tc>
      </w:tr>
      <w:tr w14:paraId="6806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478" w:type="dxa"/>
            <w:vAlign w:val="center"/>
          </w:tcPr>
          <w:p w14:paraId="523564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u w:val="none"/>
                <w:vertAlign w:val="baseline"/>
                <w:lang w:val="en-US" w:eastAsia="zh-CN"/>
              </w:rPr>
            </w:pPr>
            <w:r>
              <w:rPr>
                <w:rFonts w:hint="eastAsia" w:ascii="宋体" w:hAnsi="宋体" w:eastAsia="宋体" w:cs="宋体"/>
                <w:b/>
                <w:bCs/>
                <w:sz w:val="24"/>
                <w:szCs w:val="24"/>
                <w:u w:val="none"/>
                <w:vertAlign w:val="baseline"/>
                <w:lang w:val="en-US" w:eastAsia="zh-CN"/>
              </w:rPr>
              <w:t>考核内容</w:t>
            </w:r>
          </w:p>
        </w:tc>
        <w:tc>
          <w:tcPr>
            <w:tcW w:w="5418" w:type="dxa"/>
            <w:vAlign w:val="center"/>
          </w:tcPr>
          <w:p w14:paraId="04903A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u w:val="none"/>
                <w:vertAlign w:val="baseline"/>
                <w:lang w:val="en-US" w:eastAsia="zh-CN"/>
              </w:rPr>
            </w:pPr>
            <w:r>
              <w:rPr>
                <w:rFonts w:hint="eastAsia" w:ascii="宋体" w:hAnsi="宋体" w:eastAsia="宋体" w:cs="宋体"/>
                <w:b/>
                <w:bCs/>
                <w:sz w:val="24"/>
                <w:szCs w:val="24"/>
                <w:u w:val="none"/>
                <w:vertAlign w:val="baseline"/>
                <w:lang w:val="en-US" w:eastAsia="zh-CN"/>
              </w:rPr>
              <w:t>评分标准</w:t>
            </w:r>
          </w:p>
        </w:tc>
        <w:tc>
          <w:tcPr>
            <w:tcW w:w="830" w:type="dxa"/>
            <w:vAlign w:val="center"/>
          </w:tcPr>
          <w:p w14:paraId="48C9E0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u w:val="none"/>
                <w:vertAlign w:val="baseline"/>
                <w:lang w:val="en-US" w:eastAsia="zh-CN"/>
              </w:rPr>
            </w:pPr>
            <w:r>
              <w:rPr>
                <w:rFonts w:hint="eastAsia" w:ascii="宋体" w:hAnsi="宋体" w:eastAsia="宋体" w:cs="宋体"/>
                <w:b/>
                <w:bCs/>
                <w:sz w:val="24"/>
                <w:szCs w:val="24"/>
                <w:u w:val="none"/>
                <w:vertAlign w:val="baseline"/>
                <w:lang w:val="en-US" w:eastAsia="zh-CN"/>
              </w:rPr>
              <w:t>分值</w:t>
            </w:r>
          </w:p>
        </w:tc>
        <w:tc>
          <w:tcPr>
            <w:tcW w:w="796" w:type="dxa"/>
            <w:vAlign w:val="center"/>
          </w:tcPr>
          <w:p w14:paraId="33FD1D3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u w:val="none"/>
                <w:vertAlign w:val="baseline"/>
                <w:lang w:val="en-US" w:eastAsia="zh-CN"/>
              </w:rPr>
            </w:pPr>
            <w:r>
              <w:rPr>
                <w:rFonts w:hint="eastAsia" w:ascii="宋体" w:hAnsi="宋体" w:eastAsia="宋体" w:cs="宋体"/>
                <w:b/>
                <w:bCs/>
                <w:sz w:val="24"/>
                <w:szCs w:val="24"/>
                <w:u w:val="none"/>
                <w:vertAlign w:val="baseline"/>
                <w:lang w:val="en-US" w:eastAsia="zh-CN"/>
              </w:rPr>
              <w:t>得分</w:t>
            </w:r>
          </w:p>
        </w:tc>
      </w:tr>
      <w:tr w14:paraId="01DDC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restart"/>
            <w:vAlign w:val="center"/>
          </w:tcPr>
          <w:p w14:paraId="20CFC0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一、表达能力与逻辑思维能力</w:t>
            </w:r>
          </w:p>
          <w:p w14:paraId="3EB125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（20分）</w:t>
            </w:r>
          </w:p>
        </w:tc>
        <w:tc>
          <w:tcPr>
            <w:tcW w:w="5418" w:type="dxa"/>
            <w:vAlign w:val="center"/>
          </w:tcPr>
          <w:p w14:paraId="7245917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语言表达清晰、流畅，无严重语法错误。</w:t>
            </w:r>
          </w:p>
        </w:tc>
        <w:tc>
          <w:tcPr>
            <w:tcW w:w="830" w:type="dxa"/>
            <w:vAlign w:val="center"/>
          </w:tcPr>
          <w:p w14:paraId="610341C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5分</w:t>
            </w:r>
          </w:p>
        </w:tc>
        <w:tc>
          <w:tcPr>
            <w:tcW w:w="796" w:type="dxa"/>
            <w:vMerge w:val="restart"/>
            <w:vAlign w:val="center"/>
          </w:tcPr>
          <w:p w14:paraId="43E322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293F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52E37E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7775D83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回答问题条理清晰，逻辑性强。</w:t>
            </w:r>
          </w:p>
        </w:tc>
        <w:tc>
          <w:tcPr>
            <w:tcW w:w="830" w:type="dxa"/>
            <w:vAlign w:val="center"/>
          </w:tcPr>
          <w:p w14:paraId="2F2BF7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5分</w:t>
            </w:r>
          </w:p>
        </w:tc>
        <w:tc>
          <w:tcPr>
            <w:tcW w:w="796" w:type="dxa"/>
            <w:vMerge w:val="continue"/>
            <w:vAlign w:val="center"/>
          </w:tcPr>
          <w:p w14:paraId="1DECCA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33716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16014D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20076A0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能有效组织观点，进行有说服力的论述。</w:t>
            </w:r>
          </w:p>
        </w:tc>
        <w:tc>
          <w:tcPr>
            <w:tcW w:w="830" w:type="dxa"/>
            <w:vAlign w:val="center"/>
          </w:tcPr>
          <w:p w14:paraId="7A5D60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5分</w:t>
            </w:r>
          </w:p>
        </w:tc>
        <w:tc>
          <w:tcPr>
            <w:tcW w:w="796" w:type="dxa"/>
            <w:vMerge w:val="continue"/>
            <w:vAlign w:val="center"/>
          </w:tcPr>
          <w:p w14:paraId="5D26A2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49CDF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0F0B9E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16A4DFE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在讨论中能够积极参与，提出建设性意见。</w:t>
            </w:r>
          </w:p>
        </w:tc>
        <w:tc>
          <w:tcPr>
            <w:tcW w:w="830" w:type="dxa"/>
            <w:vAlign w:val="center"/>
          </w:tcPr>
          <w:p w14:paraId="1A3D91C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5分</w:t>
            </w:r>
          </w:p>
        </w:tc>
        <w:tc>
          <w:tcPr>
            <w:tcW w:w="796" w:type="dxa"/>
            <w:vMerge w:val="continue"/>
            <w:vAlign w:val="center"/>
          </w:tcPr>
          <w:p w14:paraId="740905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19B3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restart"/>
            <w:vAlign w:val="center"/>
          </w:tcPr>
          <w:p w14:paraId="09D90C80">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ascii="宋体" w:hAnsi="宋体" w:eastAsia="宋体" w:cs="宋体"/>
                <w:sz w:val="24"/>
                <w:szCs w:val="24"/>
              </w:rPr>
              <w:t>专业知识与技能</w:t>
            </w:r>
          </w:p>
          <w:p w14:paraId="4381376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30分</w:t>
            </w:r>
            <w:r>
              <w:rPr>
                <w:rFonts w:hint="eastAsia" w:ascii="宋体" w:hAnsi="宋体" w:eastAsia="宋体" w:cs="宋体"/>
                <w:sz w:val="24"/>
                <w:szCs w:val="24"/>
                <w:lang w:eastAsia="zh-CN"/>
              </w:rPr>
              <w:t>）</w:t>
            </w:r>
          </w:p>
        </w:tc>
        <w:tc>
          <w:tcPr>
            <w:tcW w:w="5418" w:type="dxa"/>
            <w:vAlign w:val="center"/>
          </w:tcPr>
          <w:p w14:paraId="6145B18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对原专业有基本的认识和了解。</w:t>
            </w:r>
          </w:p>
        </w:tc>
        <w:tc>
          <w:tcPr>
            <w:tcW w:w="830" w:type="dxa"/>
            <w:vAlign w:val="center"/>
          </w:tcPr>
          <w:p w14:paraId="421EC4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5分</w:t>
            </w:r>
          </w:p>
        </w:tc>
        <w:tc>
          <w:tcPr>
            <w:tcW w:w="796" w:type="dxa"/>
            <w:vMerge w:val="restart"/>
            <w:vAlign w:val="center"/>
          </w:tcPr>
          <w:p w14:paraId="585A56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1A14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4E8206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2E65D0A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对意向专业有深入的了解和研究。</w:t>
            </w:r>
          </w:p>
        </w:tc>
        <w:tc>
          <w:tcPr>
            <w:tcW w:w="830" w:type="dxa"/>
            <w:vAlign w:val="center"/>
          </w:tcPr>
          <w:p w14:paraId="339F61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10分</w:t>
            </w:r>
          </w:p>
        </w:tc>
        <w:tc>
          <w:tcPr>
            <w:tcW w:w="796" w:type="dxa"/>
            <w:vMerge w:val="continue"/>
            <w:vAlign w:val="center"/>
          </w:tcPr>
          <w:p w14:paraId="291F2A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0944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1355FA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32DB22C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能够展示在意向专业方面的相关技能或实践经验。</w:t>
            </w:r>
          </w:p>
        </w:tc>
        <w:tc>
          <w:tcPr>
            <w:tcW w:w="830" w:type="dxa"/>
            <w:vAlign w:val="center"/>
          </w:tcPr>
          <w:p w14:paraId="471C39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10分</w:t>
            </w:r>
          </w:p>
        </w:tc>
        <w:tc>
          <w:tcPr>
            <w:tcW w:w="796" w:type="dxa"/>
            <w:vMerge w:val="continue"/>
            <w:vAlign w:val="center"/>
          </w:tcPr>
          <w:p w14:paraId="4E9E61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2F87A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138DBA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295B6F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对未来在意向专业的发展有明确的规划和目标。</w:t>
            </w:r>
          </w:p>
        </w:tc>
        <w:tc>
          <w:tcPr>
            <w:tcW w:w="830" w:type="dxa"/>
            <w:vAlign w:val="center"/>
          </w:tcPr>
          <w:p w14:paraId="173ED0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5分</w:t>
            </w:r>
          </w:p>
        </w:tc>
        <w:tc>
          <w:tcPr>
            <w:tcW w:w="796" w:type="dxa"/>
            <w:vMerge w:val="continue"/>
            <w:vAlign w:val="center"/>
          </w:tcPr>
          <w:p w14:paraId="4748BD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01A3D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78" w:type="dxa"/>
            <w:vMerge w:val="restart"/>
            <w:vAlign w:val="center"/>
          </w:tcPr>
          <w:p w14:paraId="420F6A6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jc w:val="center"/>
              <w:textAlignment w:val="auto"/>
              <w:rPr>
                <w:rFonts w:ascii="宋体" w:hAnsi="宋体" w:eastAsia="宋体" w:cs="宋体"/>
                <w:sz w:val="24"/>
                <w:szCs w:val="24"/>
              </w:rPr>
            </w:pPr>
            <w:r>
              <w:rPr>
                <w:rFonts w:ascii="宋体" w:hAnsi="宋体" w:eastAsia="宋体" w:cs="宋体"/>
                <w:sz w:val="24"/>
                <w:szCs w:val="24"/>
              </w:rPr>
              <w:t>转专业动机与态度</w:t>
            </w:r>
          </w:p>
          <w:p w14:paraId="5389A5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30分</w:t>
            </w:r>
            <w:r>
              <w:rPr>
                <w:rFonts w:hint="eastAsia" w:ascii="宋体" w:hAnsi="宋体" w:eastAsia="宋体" w:cs="宋体"/>
                <w:sz w:val="24"/>
                <w:szCs w:val="24"/>
                <w:lang w:eastAsia="zh-CN"/>
              </w:rPr>
              <w:t>）</w:t>
            </w:r>
          </w:p>
        </w:tc>
        <w:tc>
          <w:tcPr>
            <w:tcW w:w="5418" w:type="dxa"/>
            <w:vAlign w:val="center"/>
          </w:tcPr>
          <w:p w14:paraId="2703882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清晰地阐述转专业的动机和原因。</w:t>
            </w:r>
          </w:p>
        </w:tc>
        <w:tc>
          <w:tcPr>
            <w:tcW w:w="830" w:type="dxa"/>
            <w:vAlign w:val="center"/>
          </w:tcPr>
          <w:p w14:paraId="6A0E80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10分</w:t>
            </w:r>
          </w:p>
        </w:tc>
        <w:tc>
          <w:tcPr>
            <w:tcW w:w="796" w:type="dxa"/>
            <w:vMerge w:val="restart"/>
            <w:vAlign w:val="center"/>
          </w:tcPr>
          <w:p w14:paraId="21D445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5FB8C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741EEB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3FA126A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对转专业后的学习和生活有充分的心理准备和规划。</w:t>
            </w:r>
          </w:p>
        </w:tc>
        <w:tc>
          <w:tcPr>
            <w:tcW w:w="830" w:type="dxa"/>
            <w:vAlign w:val="center"/>
          </w:tcPr>
          <w:p w14:paraId="6F0EDB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10分</w:t>
            </w:r>
          </w:p>
        </w:tc>
        <w:tc>
          <w:tcPr>
            <w:tcW w:w="796" w:type="dxa"/>
            <w:vMerge w:val="continue"/>
            <w:vAlign w:val="center"/>
          </w:tcPr>
          <w:p w14:paraId="05E68A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714C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061A24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136D2E2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表现出对意向专业的热情和兴趣。</w:t>
            </w:r>
          </w:p>
        </w:tc>
        <w:tc>
          <w:tcPr>
            <w:tcW w:w="830" w:type="dxa"/>
            <w:vAlign w:val="center"/>
          </w:tcPr>
          <w:p w14:paraId="2315051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10分</w:t>
            </w:r>
          </w:p>
        </w:tc>
        <w:tc>
          <w:tcPr>
            <w:tcW w:w="796" w:type="dxa"/>
            <w:vMerge w:val="continue"/>
            <w:vAlign w:val="center"/>
          </w:tcPr>
          <w:p w14:paraId="56AD9C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2562F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restart"/>
            <w:vAlign w:val="center"/>
          </w:tcPr>
          <w:p w14:paraId="17784B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vertAlign w:val="baseline"/>
                <w:lang w:eastAsia="zh-CN"/>
              </w:rPr>
            </w:pPr>
            <w:r>
              <w:rPr>
                <w:rFonts w:hint="eastAsia" w:ascii="宋体" w:hAnsi="宋体" w:eastAsia="宋体" w:cs="宋体"/>
                <w:sz w:val="24"/>
                <w:szCs w:val="24"/>
                <w:lang w:val="en-US" w:eastAsia="zh-CN"/>
              </w:rPr>
              <w:t>四、</w:t>
            </w:r>
            <w:r>
              <w:rPr>
                <w:rFonts w:ascii="宋体" w:hAnsi="宋体" w:eastAsia="宋体" w:cs="宋体"/>
                <w:sz w:val="24"/>
                <w:szCs w:val="24"/>
              </w:rPr>
              <w:t>综合素质与创新能力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20分</w:t>
            </w:r>
            <w:r>
              <w:rPr>
                <w:rFonts w:hint="eastAsia" w:ascii="宋体" w:hAnsi="宋体" w:eastAsia="宋体" w:cs="宋体"/>
                <w:sz w:val="24"/>
                <w:szCs w:val="24"/>
                <w:lang w:eastAsia="zh-CN"/>
              </w:rPr>
              <w:t>）</w:t>
            </w:r>
          </w:p>
        </w:tc>
        <w:tc>
          <w:tcPr>
            <w:tcW w:w="5418" w:type="dxa"/>
            <w:vAlign w:val="center"/>
          </w:tcPr>
          <w:p w14:paraId="207752A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展现出独立思考和解决问题的能力。</w:t>
            </w:r>
          </w:p>
        </w:tc>
        <w:tc>
          <w:tcPr>
            <w:tcW w:w="830" w:type="dxa"/>
            <w:vAlign w:val="center"/>
          </w:tcPr>
          <w:p w14:paraId="449EB1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rPr>
            </w:pPr>
            <w:r>
              <w:rPr>
                <w:rFonts w:hint="eastAsia" w:ascii="宋体" w:hAnsi="宋体" w:eastAsia="宋体" w:cs="宋体"/>
                <w:sz w:val="24"/>
                <w:szCs w:val="24"/>
                <w:lang w:val="en-US" w:eastAsia="zh-CN"/>
              </w:rPr>
              <w:t>10分</w:t>
            </w:r>
          </w:p>
        </w:tc>
        <w:tc>
          <w:tcPr>
            <w:tcW w:w="796" w:type="dxa"/>
            <w:vAlign w:val="center"/>
          </w:tcPr>
          <w:p w14:paraId="4DDD16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r w14:paraId="29A1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8" w:type="dxa"/>
            <w:vMerge w:val="continue"/>
            <w:vAlign w:val="center"/>
          </w:tcPr>
          <w:p w14:paraId="661456E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4"/>
                <w:szCs w:val="24"/>
                <w:vertAlign w:val="baseline"/>
              </w:rPr>
            </w:pPr>
          </w:p>
        </w:tc>
        <w:tc>
          <w:tcPr>
            <w:tcW w:w="5418" w:type="dxa"/>
            <w:vAlign w:val="center"/>
          </w:tcPr>
          <w:p w14:paraId="1D5B301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vertAlign w:val="baseline"/>
                <w:lang w:val="en-US" w:eastAsia="zh-CN"/>
              </w:rPr>
            </w:pPr>
            <w:r>
              <w:rPr>
                <w:rFonts w:ascii="宋体" w:hAnsi="宋体" w:eastAsia="宋体" w:cs="宋体"/>
                <w:sz w:val="24"/>
                <w:szCs w:val="24"/>
              </w:rPr>
              <w:t>在回答问题中能够提出新颖的观点或解决方案。</w:t>
            </w:r>
          </w:p>
        </w:tc>
        <w:tc>
          <w:tcPr>
            <w:tcW w:w="830" w:type="dxa"/>
            <w:vAlign w:val="center"/>
          </w:tcPr>
          <w:p w14:paraId="057D3F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10分</w:t>
            </w:r>
          </w:p>
        </w:tc>
        <w:tc>
          <w:tcPr>
            <w:tcW w:w="796" w:type="dxa"/>
            <w:vAlign w:val="center"/>
          </w:tcPr>
          <w:p w14:paraId="6B11DE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p>
        </w:tc>
      </w:tr>
    </w:tbl>
    <w:p w14:paraId="1D87DA8B">
      <w:pPr>
        <w:spacing w:line="300" w:lineRule="auto"/>
        <w:rPr>
          <w:rFonts w:ascii="宋体" w:hAnsi="宋体" w:eastAsia="宋体"/>
          <w:b/>
          <w:sz w:val="28"/>
          <w:szCs w:val="28"/>
        </w:rPr>
      </w:pPr>
      <w:r>
        <w:rPr>
          <w:rFonts w:hint="eastAsia" w:ascii="宋体" w:hAnsi="宋体" w:eastAsia="宋体"/>
          <w:b/>
          <w:sz w:val="28"/>
          <w:szCs w:val="28"/>
        </w:rPr>
        <w:t>三、报名与考核时间</w:t>
      </w:r>
    </w:p>
    <w:p w14:paraId="2A08484D">
      <w:pPr>
        <w:spacing w:line="300" w:lineRule="auto"/>
        <w:rPr>
          <w:rFonts w:ascii="宋体" w:hAnsi="宋体" w:eastAsia="宋体"/>
          <w:sz w:val="28"/>
          <w:szCs w:val="28"/>
        </w:rPr>
      </w:pPr>
      <w:r>
        <w:rPr>
          <w:rFonts w:hint="eastAsia" w:ascii="宋体" w:hAnsi="宋体" w:eastAsia="宋体"/>
          <w:sz w:val="28"/>
          <w:szCs w:val="28"/>
        </w:rPr>
        <w:t>1、报名申请与资格审核</w:t>
      </w:r>
    </w:p>
    <w:p w14:paraId="0BE10189">
      <w:pPr>
        <w:spacing w:line="300" w:lineRule="auto"/>
        <w:ind w:firstLine="560" w:firstLineChars="200"/>
        <w:rPr>
          <w:rFonts w:ascii="宋体" w:hAnsi="宋体" w:eastAsia="宋体"/>
          <w:sz w:val="28"/>
          <w:szCs w:val="28"/>
        </w:rPr>
      </w:pPr>
      <w:r>
        <w:rPr>
          <w:rFonts w:hint="eastAsia" w:ascii="宋体" w:hAnsi="宋体" w:eastAsia="宋体"/>
          <w:sz w:val="28"/>
          <w:szCs w:val="28"/>
        </w:rPr>
        <w:t>有转专业意愿的</w:t>
      </w:r>
      <w:r>
        <w:rPr>
          <w:rFonts w:hint="eastAsia" w:ascii="宋体" w:hAnsi="宋体" w:eastAsia="宋体"/>
          <w:sz w:val="28"/>
          <w:szCs w:val="28"/>
          <w:lang w:eastAsia="zh-CN"/>
        </w:rPr>
        <w:t>、</w:t>
      </w:r>
      <w:r>
        <w:rPr>
          <w:rFonts w:hint="eastAsia" w:ascii="宋体" w:hAnsi="宋体" w:eastAsia="宋体"/>
          <w:sz w:val="28"/>
          <w:szCs w:val="28"/>
          <w:lang w:val="en-US" w:eastAsia="zh-CN"/>
        </w:rPr>
        <w:t>符合转专业条件的</w:t>
      </w:r>
      <w:r>
        <w:rPr>
          <w:rFonts w:hint="eastAsia" w:ascii="宋体" w:hAnsi="宋体" w:eastAsia="宋体"/>
          <w:sz w:val="28"/>
          <w:szCs w:val="28"/>
        </w:rPr>
        <w:t>学生在规定时间内向旅游与会展学院教学办公室</w:t>
      </w:r>
      <w:r>
        <w:rPr>
          <w:rFonts w:hint="eastAsia" w:ascii="宋体" w:hAnsi="宋体" w:eastAsia="宋体"/>
          <w:sz w:val="28"/>
          <w:szCs w:val="28"/>
          <w:lang w:eastAsia="zh-CN"/>
        </w:rPr>
        <w:t>（</w:t>
      </w:r>
      <w:r>
        <w:rPr>
          <w:rFonts w:hint="eastAsia" w:ascii="宋体" w:hAnsi="宋体" w:eastAsia="宋体"/>
          <w:sz w:val="28"/>
          <w:szCs w:val="28"/>
          <w:lang w:val="en-US" w:eastAsia="zh-CN"/>
        </w:rPr>
        <w:t>南区一期教学楼2号楼206</w:t>
      </w:r>
      <w:r>
        <w:rPr>
          <w:rFonts w:hint="eastAsia" w:ascii="宋体" w:hAnsi="宋体" w:eastAsia="宋体"/>
          <w:sz w:val="28"/>
          <w:szCs w:val="28"/>
          <w:lang w:eastAsia="zh-CN"/>
        </w:rPr>
        <w:t>）</w:t>
      </w:r>
      <w:r>
        <w:rPr>
          <w:rFonts w:hint="eastAsia" w:ascii="宋体" w:hAnsi="宋体" w:eastAsia="宋体"/>
          <w:sz w:val="28"/>
          <w:szCs w:val="28"/>
        </w:rPr>
        <w:t>递交转专业申请材料。我院按照学校相关规定进行转专业学生资格审核，并通知符合要求的学生考核方式、时间、地点等相关事项。</w:t>
      </w:r>
    </w:p>
    <w:p w14:paraId="542A963A">
      <w:pPr>
        <w:spacing w:line="300" w:lineRule="auto"/>
        <w:rPr>
          <w:rFonts w:ascii="宋体" w:hAnsi="宋体" w:eastAsia="宋体"/>
          <w:sz w:val="28"/>
          <w:szCs w:val="28"/>
        </w:rPr>
      </w:pPr>
      <w:r>
        <w:rPr>
          <w:rFonts w:hint="eastAsia" w:ascii="宋体" w:hAnsi="宋体" w:eastAsia="宋体"/>
          <w:sz w:val="28"/>
          <w:szCs w:val="28"/>
        </w:rPr>
        <w:t>2、报名时间</w:t>
      </w:r>
    </w:p>
    <w:p w14:paraId="0A8DACD7">
      <w:pPr>
        <w:spacing w:line="300" w:lineRule="auto"/>
        <w:ind w:firstLine="560" w:firstLineChars="200"/>
        <w:rPr>
          <w:rFonts w:ascii="宋体" w:hAnsi="宋体" w:eastAsia="宋体"/>
          <w:sz w:val="28"/>
          <w:szCs w:val="28"/>
        </w:rPr>
      </w:pPr>
      <w:r>
        <w:rPr>
          <w:rFonts w:hint="eastAsia" w:ascii="宋体" w:hAnsi="宋体" w:eastAsia="宋体"/>
          <w:sz w:val="28"/>
          <w:szCs w:val="28"/>
        </w:rPr>
        <w:t>时间初定为202</w:t>
      </w:r>
      <w:r>
        <w:rPr>
          <w:rFonts w:hint="eastAsia" w:ascii="宋体" w:hAnsi="宋体" w:eastAsia="宋体"/>
          <w:sz w:val="28"/>
          <w:szCs w:val="28"/>
          <w:lang w:val="en-US" w:eastAsia="zh-CN"/>
        </w:rPr>
        <w:t>4</w:t>
      </w:r>
      <w:r>
        <w:rPr>
          <w:rFonts w:hint="eastAsia" w:ascii="宋体" w:hAnsi="宋体" w:eastAsia="宋体"/>
          <w:sz w:val="28"/>
          <w:szCs w:val="28"/>
        </w:rPr>
        <w:t>-202</w:t>
      </w:r>
      <w:r>
        <w:rPr>
          <w:rFonts w:hint="eastAsia" w:ascii="宋体" w:hAnsi="宋体" w:eastAsia="宋体"/>
          <w:sz w:val="28"/>
          <w:szCs w:val="28"/>
          <w:lang w:val="en-US" w:eastAsia="zh-CN"/>
        </w:rPr>
        <w:t>5</w:t>
      </w:r>
      <w:r>
        <w:rPr>
          <w:rFonts w:hint="eastAsia" w:ascii="宋体" w:hAnsi="宋体" w:eastAsia="宋体"/>
          <w:sz w:val="28"/>
          <w:szCs w:val="28"/>
        </w:rPr>
        <w:t>学年第二学期开学初，具体以教务处确定的时间再通知。</w:t>
      </w:r>
    </w:p>
    <w:p w14:paraId="54E592DC">
      <w:pPr>
        <w:spacing w:line="300" w:lineRule="auto"/>
        <w:rPr>
          <w:rFonts w:ascii="宋体" w:hAnsi="宋体" w:eastAsia="宋体"/>
          <w:sz w:val="28"/>
          <w:szCs w:val="28"/>
        </w:rPr>
      </w:pPr>
      <w:r>
        <w:rPr>
          <w:rFonts w:hint="eastAsia" w:ascii="宋体" w:hAnsi="宋体" w:eastAsia="宋体"/>
          <w:sz w:val="28"/>
          <w:szCs w:val="28"/>
        </w:rPr>
        <w:t>3、考核时间</w:t>
      </w:r>
    </w:p>
    <w:p w14:paraId="0BF98AFC">
      <w:pPr>
        <w:spacing w:line="300" w:lineRule="auto"/>
        <w:ind w:firstLine="560" w:firstLineChars="200"/>
        <w:rPr>
          <w:rFonts w:ascii="宋体" w:hAnsi="宋体" w:eastAsia="宋体"/>
          <w:sz w:val="28"/>
          <w:szCs w:val="28"/>
        </w:rPr>
      </w:pPr>
      <w:r>
        <w:rPr>
          <w:rFonts w:hint="eastAsia" w:ascii="宋体" w:hAnsi="宋体" w:eastAsia="宋体"/>
          <w:sz w:val="28"/>
          <w:szCs w:val="28"/>
        </w:rPr>
        <w:t>时间初定为202</w:t>
      </w:r>
      <w:r>
        <w:rPr>
          <w:rFonts w:hint="eastAsia" w:ascii="宋体" w:hAnsi="宋体" w:eastAsia="宋体"/>
          <w:sz w:val="28"/>
          <w:szCs w:val="28"/>
          <w:lang w:val="en-US" w:eastAsia="zh-CN"/>
        </w:rPr>
        <w:t>4</w:t>
      </w:r>
      <w:r>
        <w:rPr>
          <w:rFonts w:hint="eastAsia" w:ascii="宋体" w:hAnsi="宋体" w:eastAsia="宋体"/>
          <w:sz w:val="28"/>
          <w:szCs w:val="28"/>
        </w:rPr>
        <w:t>-202</w:t>
      </w:r>
      <w:r>
        <w:rPr>
          <w:rFonts w:hint="eastAsia" w:ascii="宋体" w:hAnsi="宋体" w:eastAsia="宋体"/>
          <w:sz w:val="28"/>
          <w:szCs w:val="28"/>
          <w:lang w:val="en-US" w:eastAsia="zh-CN"/>
        </w:rPr>
        <w:t>5</w:t>
      </w:r>
      <w:r>
        <w:rPr>
          <w:rFonts w:hint="eastAsia" w:ascii="宋体" w:hAnsi="宋体" w:eastAsia="宋体"/>
          <w:sz w:val="28"/>
          <w:szCs w:val="28"/>
        </w:rPr>
        <w:t>学年第二学期开学初，具体以教务处确定的时间再通知。</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CBAB9B"/>
    <w:multiLevelType w:val="singleLevel"/>
    <w:tmpl w:val="95CBAB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A1456"/>
    <w:rsid w:val="000C061D"/>
    <w:rsid w:val="00110DA3"/>
    <w:rsid w:val="001B2A94"/>
    <w:rsid w:val="00217E3E"/>
    <w:rsid w:val="00323B43"/>
    <w:rsid w:val="0038312C"/>
    <w:rsid w:val="003D37D8"/>
    <w:rsid w:val="00426133"/>
    <w:rsid w:val="004358AB"/>
    <w:rsid w:val="00453CD0"/>
    <w:rsid w:val="004C4921"/>
    <w:rsid w:val="00522606"/>
    <w:rsid w:val="00532B21"/>
    <w:rsid w:val="00606CCC"/>
    <w:rsid w:val="006A4A6A"/>
    <w:rsid w:val="00735C00"/>
    <w:rsid w:val="008464AD"/>
    <w:rsid w:val="00894325"/>
    <w:rsid w:val="008B7726"/>
    <w:rsid w:val="008D0D45"/>
    <w:rsid w:val="009763A0"/>
    <w:rsid w:val="00A0240C"/>
    <w:rsid w:val="00A4229C"/>
    <w:rsid w:val="00A57245"/>
    <w:rsid w:val="00A6598F"/>
    <w:rsid w:val="00C21A8B"/>
    <w:rsid w:val="00C35EBB"/>
    <w:rsid w:val="00C640AE"/>
    <w:rsid w:val="00C96386"/>
    <w:rsid w:val="00D31D50"/>
    <w:rsid w:val="00DA427C"/>
    <w:rsid w:val="00FA6142"/>
    <w:rsid w:val="00FB5F3C"/>
    <w:rsid w:val="00FE7984"/>
    <w:rsid w:val="072C17AF"/>
    <w:rsid w:val="2F8B67BB"/>
    <w:rsid w:val="374D2A72"/>
    <w:rsid w:val="6AA81702"/>
    <w:rsid w:val="74A76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5"/>
    <w:basedOn w:val="1"/>
    <w:next w:val="1"/>
    <w:semiHidden/>
    <w:unhideWhenUsed/>
    <w:qFormat/>
    <w:uiPriority w:val="9"/>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5">
    <w:name w:val="footer"/>
    <w:basedOn w:val="1"/>
    <w:link w:val="13"/>
    <w:semiHidden/>
    <w:unhideWhenUsed/>
    <w:uiPriority w:val="99"/>
    <w:pPr>
      <w:tabs>
        <w:tab w:val="center" w:pos="4153"/>
        <w:tab w:val="right" w:pos="8306"/>
      </w:tabs>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9">
    <w:name w:val="Table Grid"/>
    <w:basedOn w:val="8"/>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customStyle="1" w:styleId="12">
    <w:name w:val="页眉 Char"/>
    <w:basedOn w:val="10"/>
    <w:link w:val="6"/>
    <w:semiHidden/>
    <w:qFormat/>
    <w:uiPriority w:val="99"/>
    <w:rPr>
      <w:rFonts w:ascii="Tahoma" w:hAnsi="Tahoma"/>
      <w:sz w:val="18"/>
      <w:szCs w:val="18"/>
    </w:rPr>
  </w:style>
  <w:style w:type="character" w:customStyle="1" w:styleId="13">
    <w:name w:val="页脚 Char"/>
    <w:basedOn w:val="10"/>
    <w:link w:val="5"/>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1354</Words>
  <Characters>1422</Characters>
  <Lines>4</Lines>
  <Paragraphs>1</Paragraphs>
  <TotalTime>11</TotalTime>
  <ScaleCrop>false</ScaleCrop>
  <LinksUpToDate>false</LinksUpToDate>
  <CharactersWithSpaces>1513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2023-01-03T02:34:00Z</dcterms:created>
  <dc:creator>zw</dc:creator>
  <cp:lastModifiedBy>胡迟</cp:lastModifiedBy>
  <cp:lastPrinted>2025-01-02T07:37:46Z</cp:lastPrinted>
  <dcterms:modified xsi:type="dcterms:W3CDTF">2025-01-02T07:48:45Z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5B6626CAC8174A1E883AE6177A26541A_13</vt:lpwstr>
  </property>
  <property fmtid="{D5CDD505-2E9C-101B-9397-08002B2CF9AE}" pid="4" name="KSOTemplateDocerSaveRecord">
    <vt:lpwstr>eyJoZGlkIjoiZGQ0OTVkMjk3MzQwOTYzM2E3MWRkNzI2OWExMWI3MzEiLCJ1c2VySWQiOiI1NTU5MzA4OTYifQ==</vt:lpwstr>
  </property>
</Properties>
</file>