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82BE4A">
      <w:pPr>
        <w:adjustRightInd w:val="0"/>
        <w:snapToGrid w:val="0"/>
        <w:spacing w:line="300" w:lineRule="auto"/>
        <w:ind w:right="278"/>
        <w:jc w:val="center"/>
        <w:rPr>
          <w:rFonts w:ascii="宋体" w:hAnsi="宋体" w:eastAsia="宋体"/>
          <w:b/>
          <w:sz w:val="32"/>
          <w:szCs w:val="28"/>
        </w:rPr>
      </w:pPr>
      <w:bookmarkStart w:id="0" w:name="_GoBack"/>
      <w:bookmarkEnd w:id="0"/>
      <w:r>
        <w:rPr>
          <w:rFonts w:hint="eastAsia" w:ascii="宋体" w:hAnsi="宋体" w:eastAsia="宋体"/>
          <w:b/>
          <w:sz w:val="32"/>
          <w:szCs w:val="28"/>
        </w:rPr>
        <w:t>能源材料与化工学院2024级转专业考核方案</w:t>
      </w:r>
    </w:p>
    <w:p w14:paraId="358C3D87">
      <w:pPr>
        <w:adjustRightInd w:val="0"/>
        <w:snapToGrid w:val="0"/>
        <w:spacing w:before="156" w:beforeLines="50" w:after="156" w:afterLines="50" w:line="360" w:lineRule="auto"/>
        <w:ind w:firstLine="480" w:firstLineChars="200"/>
        <w:rPr>
          <w:rFonts w:ascii="宋体" w:hAnsi="宋体" w:eastAsia="宋体"/>
          <w:sz w:val="24"/>
          <w:szCs w:val="24"/>
        </w:rPr>
      </w:pPr>
      <w:r>
        <w:rPr>
          <w:rFonts w:hint="eastAsia" w:ascii="宋体" w:hAnsi="宋体" w:eastAsia="宋体"/>
          <w:sz w:val="24"/>
          <w:szCs w:val="24"/>
        </w:rPr>
        <w:t>根据《安徽省教育厅关于做好新生入学资格复查和学籍学历管理工作的通知》、《合肥大学本科生学籍管理办法》、《合肥大学全日制本科生转专业实施办法（修订）》等文件相关规定，结合能源材料与化工学院实际情况，本着公平、公正、公开的原则，经学院党政联席会讨论，对申请转入我学院的学生实行以下考核规则：</w:t>
      </w:r>
    </w:p>
    <w:p w14:paraId="66C2850A">
      <w:pPr>
        <w:adjustRightInd w:val="0"/>
        <w:snapToGrid w:val="0"/>
        <w:spacing w:before="156" w:beforeLines="50" w:after="156" w:afterLines="50" w:line="360" w:lineRule="auto"/>
        <w:rPr>
          <w:rFonts w:ascii="宋体" w:hAnsi="宋体" w:eastAsia="宋体"/>
          <w:sz w:val="24"/>
          <w:szCs w:val="24"/>
        </w:rPr>
      </w:pPr>
      <w:r>
        <w:rPr>
          <w:rFonts w:hint="eastAsia" w:ascii="宋体" w:hAnsi="宋体" w:eastAsia="宋体"/>
          <w:sz w:val="24"/>
          <w:szCs w:val="24"/>
        </w:rPr>
        <w:t>一、组织机构</w:t>
      </w:r>
    </w:p>
    <w:p w14:paraId="622D3D67">
      <w:pPr>
        <w:adjustRightInd w:val="0"/>
        <w:snapToGrid w:val="0"/>
        <w:spacing w:before="156" w:beforeLines="50" w:after="156" w:afterLines="50" w:line="360" w:lineRule="auto"/>
        <w:ind w:firstLine="480" w:firstLineChars="200"/>
        <w:rPr>
          <w:rFonts w:ascii="宋体" w:hAnsi="宋体" w:eastAsia="宋体"/>
          <w:sz w:val="24"/>
          <w:szCs w:val="24"/>
        </w:rPr>
      </w:pPr>
      <w:r>
        <w:rPr>
          <w:rFonts w:hint="eastAsia" w:ascii="宋体" w:hAnsi="宋体" w:eastAsia="宋体"/>
          <w:sz w:val="24"/>
          <w:szCs w:val="24"/>
        </w:rPr>
        <w:t>按照学校相关工作要求，能源材料与化工学院成立2024级转专业工作小组，负责我院2024级转专业工作的组织实施，同时学院纪委全程参与监督。</w:t>
      </w:r>
    </w:p>
    <w:p w14:paraId="37BD2C8F">
      <w:pPr>
        <w:adjustRightInd w:val="0"/>
        <w:snapToGrid w:val="0"/>
        <w:spacing w:before="156" w:beforeLines="50" w:after="156" w:afterLines="50" w:line="360" w:lineRule="auto"/>
        <w:rPr>
          <w:rFonts w:ascii="宋体" w:hAnsi="宋体" w:eastAsia="宋体"/>
          <w:sz w:val="24"/>
          <w:szCs w:val="24"/>
        </w:rPr>
      </w:pPr>
      <w:r>
        <w:rPr>
          <w:rFonts w:hint="eastAsia" w:ascii="宋体" w:hAnsi="宋体" w:eastAsia="宋体"/>
          <w:sz w:val="24"/>
          <w:szCs w:val="24"/>
        </w:rPr>
        <w:t>组  长： 刘沛平、胡坤宏</w:t>
      </w:r>
    </w:p>
    <w:p w14:paraId="51EA3DCC">
      <w:pPr>
        <w:adjustRightInd w:val="0"/>
        <w:snapToGrid w:val="0"/>
        <w:spacing w:before="156" w:beforeLines="50" w:after="156" w:afterLines="50" w:line="360" w:lineRule="auto"/>
        <w:rPr>
          <w:rFonts w:ascii="宋体" w:hAnsi="宋体" w:eastAsia="宋体"/>
          <w:sz w:val="24"/>
          <w:szCs w:val="24"/>
        </w:rPr>
      </w:pPr>
      <w:r>
        <w:rPr>
          <w:rFonts w:hint="eastAsia" w:ascii="宋体" w:hAnsi="宋体" w:eastAsia="宋体"/>
          <w:sz w:val="24"/>
          <w:szCs w:val="24"/>
        </w:rPr>
        <w:t>副组长:  鲁红典、魏安乐</w:t>
      </w:r>
    </w:p>
    <w:p w14:paraId="66351459">
      <w:pPr>
        <w:adjustRightInd w:val="0"/>
        <w:snapToGrid w:val="0"/>
        <w:spacing w:before="156" w:beforeLines="50" w:after="156" w:afterLines="50" w:line="360" w:lineRule="auto"/>
        <w:rPr>
          <w:rFonts w:ascii="宋体" w:hAnsi="宋体" w:eastAsia="宋体"/>
          <w:sz w:val="24"/>
          <w:szCs w:val="24"/>
        </w:rPr>
      </w:pPr>
      <w:r>
        <w:rPr>
          <w:rFonts w:hint="eastAsia" w:ascii="宋体" w:hAnsi="宋体" w:eastAsia="宋体"/>
          <w:sz w:val="24"/>
          <w:szCs w:val="24"/>
        </w:rPr>
        <w:t>组  员： 徐俊、胡恩柱、梁鑫、郝玉成、张全争</w:t>
      </w:r>
    </w:p>
    <w:p w14:paraId="5A8C482E">
      <w:pPr>
        <w:adjustRightInd w:val="0"/>
        <w:snapToGrid w:val="0"/>
        <w:spacing w:before="156" w:beforeLines="50" w:after="156" w:afterLines="50" w:line="360" w:lineRule="auto"/>
        <w:rPr>
          <w:rFonts w:ascii="宋体" w:hAnsi="宋体" w:eastAsia="宋体"/>
          <w:sz w:val="24"/>
          <w:szCs w:val="24"/>
        </w:rPr>
      </w:pPr>
      <w:r>
        <w:rPr>
          <w:rFonts w:hint="eastAsia" w:ascii="宋体" w:hAnsi="宋体" w:eastAsia="宋体"/>
          <w:sz w:val="24"/>
          <w:szCs w:val="24"/>
        </w:rPr>
        <w:t>二、 计划录取额度</w:t>
      </w:r>
    </w:p>
    <w:p w14:paraId="3D63BBB1">
      <w:pPr>
        <w:adjustRightInd w:val="0"/>
        <w:snapToGrid w:val="0"/>
        <w:spacing w:before="156" w:beforeLines="50" w:after="50" w:line="360" w:lineRule="auto"/>
        <w:ind w:firstLine="480" w:firstLineChars="200"/>
        <w:rPr>
          <w:rFonts w:ascii="宋体" w:hAnsi="宋体" w:eastAsia="宋体"/>
          <w:sz w:val="24"/>
          <w:szCs w:val="24"/>
        </w:rPr>
      </w:pPr>
      <w:r>
        <w:rPr>
          <w:rFonts w:hint="eastAsia" w:ascii="宋体" w:hAnsi="宋体" w:eastAsia="宋体"/>
          <w:sz w:val="24"/>
          <w:szCs w:val="24"/>
        </w:rPr>
        <w:t>接受学生名额为学校公布计划。</w:t>
      </w:r>
    </w:p>
    <w:p w14:paraId="46F1F99B">
      <w:pPr>
        <w:adjustRightInd w:val="0"/>
        <w:snapToGrid w:val="0"/>
        <w:spacing w:before="156" w:beforeLines="50" w:after="156" w:afterLines="50" w:line="360" w:lineRule="auto"/>
        <w:rPr>
          <w:rFonts w:ascii="宋体" w:hAnsi="宋体" w:eastAsia="宋体"/>
          <w:sz w:val="24"/>
          <w:szCs w:val="24"/>
        </w:rPr>
      </w:pPr>
      <w:r>
        <w:rPr>
          <w:rFonts w:hint="eastAsia" w:ascii="宋体" w:hAnsi="宋体" w:eastAsia="宋体"/>
          <w:sz w:val="24"/>
          <w:szCs w:val="24"/>
        </w:rPr>
        <w:t>三、申请学生条件</w:t>
      </w:r>
    </w:p>
    <w:p w14:paraId="3AFA2331">
      <w:pPr>
        <w:pStyle w:val="6"/>
        <w:adjustRightInd w:val="0"/>
        <w:snapToGrid w:val="0"/>
        <w:spacing w:before="0" w:beforeAutospacing="0" w:after="0" w:afterAutospacing="0" w:line="360" w:lineRule="auto"/>
        <w:ind w:firstLine="480"/>
        <w:jc w:val="both"/>
        <w:rPr>
          <w:rFonts w:cstheme="minorBidi"/>
          <w:kern w:val="2"/>
        </w:rPr>
      </w:pPr>
      <w:r>
        <w:rPr>
          <w:rFonts w:hint="eastAsia" w:cstheme="minorBidi"/>
          <w:kern w:val="2"/>
        </w:rPr>
        <w:t>符合学校转专业等相关文件规定的基本条件及其他事项要求。</w:t>
      </w:r>
    </w:p>
    <w:p w14:paraId="45418BCF">
      <w:pPr>
        <w:adjustRightInd w:val="0"/>
        <w:snapToGrid w:val="0"/>
        <w:spacing w:before="156" w:beforeLines="50" w:after="156" w:afterLines="50" w:line="360" w:lineRule="auto"/>
        <w:rPr>
          <w:rFonts w:ascii="宋体" w:hAnsi="宋体" w:eastAsia="宋体"/>
          <w:sz w:val="24"/>
          <w:szCs w:val="24"/>
        </w:rPr>
      </w:pPr>
      <w:r>
        <w:rPr>
          <w:rFonts w:hint="eastAsia" w:ascii="宋体" w:hAnsi="宋体" w:eastAsia="宋体"/>
          <w:sz w:val="24"/>
          <w:szCs w:val="24"/>
        </w:rPr>
        <w:t>四、考核</w:t>
      </w:r>
    </w:p>
    <w:p w14:paraId="43610DAA">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1、资格审查：对符合第二条申请条件的拟转入学生，进行资格审查。</w:t>
      </w:r>
    </w:p>
    <w:p w14:paraId="532E1F1E">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2、考核方式：原则上考核包括笔试和面试两个环节。笔试采用百分制评分方式，获</w:t>
      </w:r>
      <w:r>
        <w:rPr>
          <w:rFonts w:ascii="宋体" w:hAnsi="宋体" w:eastAsia="宋体"/>
          <w:sz w:val="24"/>
          <w:szCs w:val="24"/>
        </w:rPr>
        <w:t>60</w:t>
      </w:r>
      <w:r>
        <w:rPr>
          <w:rFonts w:hint="eastAsia" w:ascii="宋体" w:hAnsi="宋体" w:eastAsia="宋体"/>
          <w:sz w:val="24"/>
          <w:szCs w:val="24"/>
        </w:rPr>
        <w:t>分及以上方可进入面试环节；笔试由专业设置试卷，主要考察学生对拟转入专业的了解程度、专业基础和已修课程学习情况等。面试主要考察学生的政治思想品德、心理健康、综合素质和未来学习规划等。资格审查通过人数不超过专业接收人数的，学院只采用面试考核。</w:t>
      </w:r>
    </w:p>
    <w:p w14:paraId="581ECF6E">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3、考核办法：由各系部成立考核小组，对拟转入学生进行考核。笔试和面试成绩均须合格（总分为100分，合格最低线为60分），根据笔试成绩和面试成绩各占50%的权重按照从高到低的顺序排名，结合各专业接受人数由院教学委员会讨论后经院党政联席会议确定拟接收学生名单并予以公示。</w:t>
      </w:r>
    </w:p>
    <w:p w14:paraId="7FDD74CB">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4、考核时间：每学年第二学期期初，具体时间安排根据学校教务处的统一部署。</w:t>
      </w:r>
    </w:p>
    <w:p w14:paraId="6CBE1239">
      <w:pPr>
        <w:adjustRightInd w:val="0"/>
        <w:snapToGrid w:val="0"/>
        <w:spacing w:line="360" w:lineRule="auto"/>
        <w:ind w:firstLine="480" w:firstLineChars="200"/>
        <w:rPr>
          <w:rFonts w:ascii="宋体" w:hAnsi="宋体" w:eastAsia="宋体"/>
          <w:sz w:val="24"/>
          <w:szCs w:val="24"/>
        </w:rPr>
      </w:pPr>
      <w:r>
        <w:rPr>
          <w:rFonts w:hint="eastAsia" w:ascii="宋体" w:hAnsi="宋体" w:eastAsia="宋体"/>
          <w:sz w:val="24"/>
          <w:szCs w:val="24"/>
        </w:rPr>
        <w:t>5、考核过程：学院纪委全程参与监督（监督电话0</w:t>
      </w:r>
      <w:r>
        <w:rPr>
          <w:rFonts w:ascii="宋体" w:hAnsi="宋体" w:eastAsia="宋体"/>
          <w:sz w:val="24"/>
          <w:szCs w:val="24"/>
        </w:rPr>
        <w:t>551-62158435</w:t>
      </w:r>
      <w:r>
        <w:rPr>
          <w:rFonts w:hint="eastAsia" w:ascii="宋体" w:hAnsi="宋体" w:eastAsia="宋体"/>
          <w:sz w:val="24"/>
          <w:szCs w:val="24"/>
        </w:rPr>
        <w:t>）。</w:t>
      </w:r>
    </w:p>
    <w:p w14:paraId="3FBD6E04">
      <w:pPr>
        <w:adjustRightInd w:val="0"/>
        <w:snapToGrid w:val="0"/>
        <w:spacing w:line="300" w:lineRule="auto"/>
        <w:jc w:val="right"/>
        <w:rPr>
          <w:rFonts w:ascii="宋体" w:hAnsi="宋体" w:eastAsia="宋体"/>
          <w:sz w:val="24"/>
          <w:szCs w:val="24"/>
        </w:rPr>
      </w:pPr>
      <w:r>
        <w:rPr>
          <w:rFonts w:hint="eastAsia" w:ascii="宋体" w:hAnsi="宋体" w:eastAsia="宋体"/>
          <w:sz w:val="24"/>
          <w:szCs w:val="24"/>
        </w:rPr>
        <w:t>能源材料与化工学院</w:t>
      </w:r>
    </w:p>
    <w:p w14:paraId="1E4A35C5">
      <w:pPr>
        <w:adjustRightInd w:val="0"/>
        <w:snapToGrid w:val="0"/>
        <w:spacing w:line="360" w:lineRule="auto"/>
        <w:jc w:val="right"/>
        <w:rPr>
          <w:rFonts w:ascii="_x000B__x000C_" w:hAnsi="_x000B__x000C_"/>
          <w:b/>
          <w:sz w:val="32"/>
          <w:szCs w:val="24"/>
        </w:rPr>
      </w:pPr>
      <w:r>
        <w:rPr>
          <w:rFonts w:hint="eastAsia" w:ascii="宋体" w:hAnsi="宋体" w:eastAsia="宋体"/>
          <w:sz w:val="24"/>
          <w:szCs w:val="24"/>
        </w:rPr>
        <w:t>202</w:t>
      </w:r>
      <w:r>
        <w:rPr>
          <w:rFonts w:ascii="宋体" w:hAnsi="宋体" w:eastAsia="宋体"/>
          <w:sz w:val="24"/>
          <w:szCs w:val="24"/>
        </w:rPr>
        <w:t>4</w:t>
      </w:r>
      <w:r>
        <w:rPr>
          <w:rFonts w:hint="eastAsia" w:ascii="宋体" w:hAnsi="宋体" w:eastAsia="宋体"/>
          <w:sz w:val="24"/>
          <w:szCs w:val="24"/>
        </w:rPr>
        <w:t>年</w:t>
      </w:r>
      <w:r>
        <w:rPr>
          <w:rFonts w:ascii="宋体" w:hAnsi="宋体" w:eastAsia="宋体"/>
          <w:sz w:val="24"/>
          <w:szCs w:val="24"/>
        </w:rPr>
        <w:t>1</w:t>
      </w:r>
      <w:r>
        <w:rPr>
          <w:rFonts w:hint="eastAsia" w:ascii="宋体" w:hAnsi="宋体" w:eastAsia="宋体"/>
          <w:sz w:val="24"/>
          <w:szCs w:val="24"/>
        </w:rPr>
        <w:t>月2日</w:t>
      </w:r>
    </w:p>
    <w:p w14:paraId="112D8513">
      <w:pPr>
        <w:jc w:val="center"/>
        <w:rPr>
          <w:rFonts w:ascii="_x000B__x000C_" w:hAnsi="_x000B__x000C_"/>
          <w:b/>
          <w:sz w:val="32"/>
          <w:szCs w:val="24"/>
        </w:rPr>
      </w:pPr>
    </w:p>
    <w:p w14:paraId="14FF15E0">
      <w:pPr>
        <w:rPr>
          <w:rFonts w:ascii="_x000B__x000C_" w:hAnsi="_x000B__x000C_"/>
          <w:b/>
          <w:sz w:val="32"/>
          <w:szCs w:val="24"/>
        </w:rPr>
        <w:sectPr>
          <w:pgSz w:w="11906" w:h="16838"/>
          <w:pgMar w:top="1800" w:right="1440" w:bottom="1800" w:left="1440" w:header="851" w:footer="992" w:gutter="0"/>
          <w:cols w:space="425" w:num="1"/>
          <w:docGrid w:type="lines" w:linePitch="312" w:charSpace="0"/>
        </w:sectPr>
      </w:pPr>
    </w:p>
    <w:p w14:paraId="24E67884">
      <w:pPr>
        <w:spacing w:before="156" w:beforeLines="50" w:after="156" w:afterLines="50"/>
        <w:jc w:val="center"/>
        <w:rPr>
          <w:rFonts w:ascii="_x000B__x000C_" w:hAnsi="_x000B__x000C_"/>
          <w:b/>
          <w:sz w:val="32"/>
          <w:szCs w:val="24"/>
        </w:rPr>
      </w:pPr>
      <w:r>
        <w:rPr>
          <w:rFonts w:hint="eastAsia" w:ascii="_x000B__x000C_" w:hAnsi="_x000B__x000C_"/>
          <w:b/>
          <w:sz w:val="32"/>
          <w:szCs w:val="24"/>
        </w:rPr>
        <w:t>合肥大学2024级接收转专业学生面试评分表（能源材料与化工学院）</w:t>
      </w:r>
    </w:p>
    <w:p w14:paraId="27A2AB39">
      <w:pPr>
        <w:jc w:val="center"/>
        <w:rPr>
          <w:rFonts w:ascii="_x000B__x000C_" w:hAnsi="_x000B__x000C_"/>
          <w:b/>
          <w:sz w:val="32"/>
          <w:szCs w:val="24"/>
        </w:rPr>
      </w:pPr>
    </w:p>
    <w:tbl>
      <w:tblPr>
        <w:tblStyle w:val="8"/>
        <w:tblW w:w="14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992"/>
        <w:gridCol w:w="2410"/>
        <w:gridCol w:w="2410"/>
        <w:gridCol w:w="3260"/>
        <w:gridCol w:w="3118"/>
        <w:gridCol w:w="851"/>
      </w:tblGrid>
      <w:tr w14:paraId="73EC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59" w:type="dxa"/>
            <w:vMerge w:val="restart"/>
            <w:vAlign w:val="center"/>
          </w:tcPr>
          <w:p w14:paraId="41845FB5">
            <w:pPr>
              <w:jc w:val="center"/>
            </w:pPr>
          </w:p>
          <w:p w14:paraId="0E587A80">
            <w:pPr>
              <w:jc w:val="center"/>
            </w:pPr>
            <w:r>
              <w:rPr>
                <w:rFonts w:hint="eastAsia"/>
              </w:rPr>
              <w:t>序号</w:t>
            </w:r>
          </w:p>
          <w:p w14:paraId="73602882">
            <w:pPr>
              <w:jc w:val="center"/>
            </w:pPr>
          </w:p>
        </w:tc>
        <w:tc>
          <w:tcPr>
            <w:tcW w:w="992" w:type="dxa"/>
            <w:vMerge w:val="restart"/>
            <w:vAlign w:val="center"/>
          </w:tcPr>
          <w:p w14:paraId="4AFF0347">
            <w:pPr>
              <w:jc w:val="center"/>
            </w:pPr>
            <w:r>
              <w:rPr>
                <w:rFonts w:hint="eastAsia"/>
              </w:rPr>
              <w:t>姓名</w:t>
            </w:r>
          </w:p>
        </w:tc>
        <w:tc>
          <w:tcPr>
            <w:tcW w:w="2410" w:type="dxa"/>
            <w:vMerge w:val="restart"/>
            <w:vAlign w:val="center"/>
          </w:tcPr>
          <w:p w14:paraId="342DA4F8">
            <w:pPr>
              <w:jc w:val="center"/>
            </w:pPr>
            <w:r>
              <w:rPr>
                <w:rFonts w:hint="eastAsia"/>
              </w:rPr>
              <w:t>所学专业</w:t>
            </w:r>
          </w:p>
        </w:tc>
        <w:tc>
          <w:tcPr>
            <w:tcW w:w="2410" w:type="dxa"/>
            <w:vMerge w:val="restart"/>
            <w:vAlign w:val="center"/>
          </w:tcPr>
          <w:p w14:paraId="561E8054">
            <w:pPr>
              <w:jc w:val="center"/>
              <w:rPr>
                <w:rFonts w:ascii="宋体" w:hAnsi="宋体"/>
                <w:szCs w:val="21"/>
              </w:rPr>
            </w:pPr>
            <w:r>
              <w:rPr>
                <w:rFonts w:hint="eastAsia" w:ascii="宋体" w:hAnsi="宋体"/>
                <w:szCs w:val="21"/>
              </w:rPr>
              <w:t>申请转入专业</w:t>
            </w:r>
          </w:p>
        </w:tc>
        <w:tc>
          <w:tcPr>
            <w:tcW w:w="6378" w:type="dxa"/>
            <w:gridSpan w:val="2"/>
            <w:vAlign w:val="center"/>
          </w:tcPr>
          <w:p w14:paraId="6B2E063B">
            <w:pPr>
              <w:jc w:val="center"/>
              <w:rPr>
                <w:rFonts w:ascii="宋体" w:hAnsi="宋体"/>
                <w:szCs w:val="21"/>
              </w:rPr>
            </w:pPr>
            <w:r>
              <w:rPr>
                <w:rFonts w:hint="eastAsia" w:ascii="宋体" w:hAnsi="宋体"/>
                <w:szCs w:val="21"/>
              </w:rPr>
              <w:t>面试考核</w:t>
            </w:r>
          </w:p>
        </w:tc>
        <w:tc>
          <w:tcPr>
            <w:tcW w:w="851" w:type="dxa"/>
            <w:vMerge w:val="restart"/>
            <w:vAlign w:val="center"/>
          </w:tcPr>
          <w:p w14:paraId="5FB1FEF7">
            <w:pPr>
              <w:jc w:val="center"/>
              <w:rPr>
                <w:rFonts w:ascii="宋体" w:hAnsi="宋体"/>
                <w:szCs w:val="21"/>
              </w:rPr>
            </w:pPr>
            <w:r>
              <w:rPr>
                <w:rFonts w:hint="eastAsia" w:ascii="宋体" w:hAnsi="宋体"/>
                <w:szCs w:val="21"/>
              </w:rPr>
              <w:t>总  分</w:t>
            </w:r>
          </w:p>
          <w:p w14:paraId="4A8F3B8C">
            <w:pPr>
              <w:jc w:val="center"/>
              <w:rPr>
                <w:rFonts w:ascii="宋体" w:hAnsi="宋体"/>
                <w:szCs w:val="21"/>
              </w:rPr>
            </w:pPr>
            <w:r>
              <w:rPr>
                <w:rFonts w:hint="eastAsia" w:ascii="宋体" w:hAnsi="宋体"/>
                <w:szCs w:val="21"/>
              </w:rPr>
              <w:t>（100）</w:t>
            </w:r>
          </w:p>
        </w:tc>
      </w:tr>
      <w:tr w14:paraId="0BB88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959" w:type="dxa"/>
            <w:vMerge w:val="continue"/>
            <w:vAlign w:val="center"/>
          </w:tcPr>
          <w:p w14:paraId="496CA185"/>
        </w:tc>
        <w:tc>
          <w:tcPr>
            <w:tcW w:w="992" w:type="dxa"/>
            <w:vMerge w:val="continue"/>
            <w:vAlign w:val="center"/>
          </w:tcPr>
          <w:p w14:paraId="677D3E69"/>
        </w:tc>
        <w:tc>
          <w:tcPr>
            <w:tcW w:w="2410" w:type="dxa"/>
            <w:vMerge w:val="continue"/>
            <w:vAlign w:val="center"/>
          </w:tcPr>
          <w:p w14:paraId="4AD02CD8"/>
        </w:tc>
        <w:tc>
          <w:tcPr>
            <w:tcW w:w="2410" w:type="dxa"/>
            <w:vMerge w:val="continue"/>
          </w:tcPr>
          <w:p w14:paraId="2F55271F">
            <w:pPr>
              <w:jc w:val="center"/>
            </w:pPr>
          </w:p>
        </w:tc>
        <w:tc>
          <w:tcPr>
            <w:tcW w:w="3260" w:type="dxa"/>
            <w:vAlign w:val="center"/>
          </w:tcPr>
          <w:p w14:paraId="70CAA321">
            <w:pPr>
              <w:jc w:val="left"/>
              <w:rPr>
                <w:b/>
              </w:rPr>
            </w:pPr>
            <w:r>
              <w:rPr>
                <w:rFonts w:hint="eastAsia"/>
                <w:b/>
              </w:rPr>
              <w:t>人文素质（50分）：</w:t>
            </w:r>
          </w:p>
          <w:p w14:paraId="28E12525">
            <w:pPr>
              <w:jc w:val="left"/>
            </w:pPr>
            <w:r>
              <w:rPr>
                <w:rFonts w:hint="eastAsia"/>
              </w:rPr>
              <w:t xml:space="preserve">思想政治素质、道德品质、心理健康情况等；举止、表达和礼仪、思维与反应能力；转专业动机等； </w:t>
            </w:r>
          </w:p>
        </w:tc>
        <w:tc>
          <w:tcPr>
            <w:tcW w:w="3118" w:type="dxa"/>
            <w:vAlign w:val="center"/>
          </w:tcPr>
          <w:p w14:paraId="605AD588">
            <w:pPr>
              <w:jc w:val="left"/>
              <w:rPr>
                <w:b/>
              </w:rPr>
            </w:pPr>
            <w:r>
              <w:rPr>
                <w:rFonts w:hint="eastAsia"/>
                <w:b/>
              </w:rPr>
              <w:t>专业基础（50分）：</w:t>
            </w:r>
          </w:p>
          <w:p w14:paraId="17BE9B20">
            <w:pPr>
              <w:jc w:val="left"/>
            </w:pPr>
            <w:r>
              <w:rPr>
                <w:rFonts w:hint="eastAsia"/>
              </w:rPr>
              <w:t>理科基础知识和专业背景知识；专业以外的学习、科研、社会实践（学生工作、社团活动等）；</w:t>
            </w:r>
          </w:p>
        </w:tc>
        <w:tc>
          <w:tcPr>
            <w:tcW w:w="851" w:type="dxa"/>
            <w:vMerge w:val="continue"/>
            <w:vAlign w:val="center"/>
          </w:tcPr>
          <w:p w14:paraId="0651D081">
            <w:pPr>
              <w:rPr>
                <w:rFonts w:ascii="宋体" w:hAnsi="宋体"/>
                <w:szCs w:val="21"/>
              </w:rPr>
            </w:pPr>
          </w:p>
        </w:tc>
      </w:tr>
      <w:tr w14:paraId="0A86F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416BCDCA">
            <w:pPr>
              <w:widowControl/>
              <w:jc w:val="center"/>
            </w:pPr>
            <w:r>
              <w:rPr>
                <w:rFonts w:hint="eastAsia"/>
              </w:rPr>
              <w:t>1</w:t>
            </w:r>
          </w:p>
        </w:tc>
        <w:tc>
          <w:tcPr>
            <w:tcW w:w="992" w:type="dxa"/>
            <w:vAlign w:val="center"/>
          </w:tcPr>
          <w:p w14:paraId="5FC29898">
            <w:pPr>
              <w:widowControl/>
              <w:jc w:val="center"/>
            </w:pPr>
          </w:p>
        </w:tc>
        <w:tc>
          <w:tcPr>
            <w:tcW w:w="2410" w:type="dxa"/>
            <w:vAlign w:val="center"/>
          </w:tcPr>
          <w:p w14:paraId="4764F3BB">
            <w:pPr>
              <w:widowControl/>
              <w:jc w:val="left"/>
            </w:pPr>
          </w:p>
        </w:tc>
        <w:tc>
          <w:tcPr>
            <w:tcW w:w="2410" w:type="dxa"/>
            <w:vAlign w:val="center"/>
          </w:tcPr>
          <w:p w14:paraId="06E73816">
            <w:pPr>
              <w:widowControl/>
              <w:jc w:val="left"/>
              <w:rPr>
                <w:rFonts w:ascii="宋体" w:hAnsi="宋体" w:cs="宋体"/>
                <w:kern w:val="0"/>
                <w:sz w:val="20"/>
                <w:szCs w:val="20"/>
              </w:rPr>
            </w:pPr>
          </w:p>
        </w:tc>
        <w:tc>
          <w:tcPr>
            <w:tcW w:w="3260" w:type="dxa"/>
            <w:vAlign w:val="center"/>
          </w:tcPr>
          <w:p w14:paraId="6F5F4DBA">
            <w:pPr>
              <w:widowControl/>
              <w:jc w:val="left"/>
              <w:rPr>
                <w:rFonts w:ascii="宋体" w:hAnsi="宋体" w:cs="宋体"/>
                <w:kern w:val="0"/>
                <w:sz w:val="20"/>
                <w:szCs w:val="20"/>
              </w:rPr>
            </w:pPr>
          </w:p>
        </w:tc>
        <w:tc>
          <w:tcPr>
            <w:tcW w:w="3118" w:type="dxa"/>
            <w:vAlign w:val="center"/>
          </w:tcPr>
          <w:p w14:paraId="3635B914">
            <w:pPr>
              <w:jc w:val="center"/>
              <w:rPr>
                <w:szCs w:val="21"/>
              </w:rPr>
            </w:pPr>
          </w:p>
        </w:tc>
        <w:tc>
          <w:tcPr>
            <w:tcW w:w="851" w:type="dxa"/>
            <w:vAlign w:val="center"/>
          </w:tcPr>
          <w:p w14:paraId="460A0C4E">
            <w:pPr>
              <w:jc w:val="center"/>
              <w:rPr>
                <w:szCs w:val="21"/>
              </w:rPr>
            </w:pPr>
          </w:p>
        </w:tc>
      </w:tr>
      <w:tr w14:paraId="2F351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76AEA1B2">
            <w:pPr>
              <w:widowControl/>
              <w:jc w:val="center"/>
            </w:pPr>
            <w:r>
              <w:rPr>
                <w:rFonts w:hint="eastAsia"/>
              </w:rPr>
              <w:t>2</w:t>
            </w:r>
          </w:p>
        </w:tc>
        <w:tc>
          <w:tcPr>
            <w:tcW w:w="992" w:type="dxa"/>
            <w:vAlign w:val="center"/>
          </w:tcPr>
          <w:p w14:paraId="247E1543">
            <w:pPr>
              <w:widowControl/>
              <w:jc w:val="center"/>
            </w:pPr>
          </w:p>
        </w:tc>
        <w:tc>
          <w:tcPr>
            <w:tcW w:w="2410" w:type="dxa"/>
            <w:vAlign w:val="center"/>
          </w:tcPr>
          <w:p w14:paraId="14027EE3">
            <w:pPr>
              <w:widowControl/>
              <w:jc w:val="left"/>
            </w:pPr>
          </w:p>
        </w:tc>
        <w:tc>
          <w:tcPr>
            <w:tcW w:w="2410" w:type="dxa"/>
            <w:vAlign w:val="center"/>
          </w:tcPr>
          <w:p w14:paraId="3ECA923F">
            <w:pPr>
              <w:widowControl/>
              <w:jc w:val="left"/>
              <w:rPr>
                <w:rFonts w:ascii="宋体" w:hAnsi="宋体" w:cs="宋体"/>
                <w:kern w:val="0"/>
                <w:sz w:val="20"/>
                <w:szCs w:val="20"/>
              </w:rPr>
            </w:pPr>
          </w:p>
        </w:tc>
        <w:tc>
          <w:tcPr>
            <w:tcW w:w="3260" w:type="dxa"/>
            <w:vAlign w:val="center"/>
          </w:tcPr>
          <w:p w14:paraId="7C59552C">
            <w:pPr>
              <w:widowControl/>
              <w:jc w:val="left"/>
              <w:rPr>
                <w:rFonts w:ascii="宋体" w:hAnsi="宋体" w:cs="宋体"/>
                <w:kern w:val="0"/>
                <w:sz w:val="20"/>
                <w:szCs w:val="20"/>
              </w:rPr>
            </w:pPr>
          </w:p>
        </w:tc>
        <w:tc>
          <w:tcPr>
            <w:tcW w:w="3118" w:type="dxa"/>
            <w:vAlign w:val="center"/>
          </w:tcPr>
          <w:p w14:paraId="0A257478">
            <w:pPr>
              <w:jc w:val="center"/>
              <w:rPr>
                <w:szCs w:val="21"/>
              </w:rPr>
            </w:pPr>
          </w:p>
        </w:tc>
        <w:tc>
          <w:tcPr>
            <w:tcW w:w="851" w:type="dxa"/>
            <w:vAlign w:val="center"/>
          </w:tcPr>
          <w:p w14:paraId="59F1E041">
            <w:pPr>
              <w:jc w:val="center"/>
              <w:rPr>
                <w:szCs w:val="21"/>
              </w:rPr>
            </w:pPr>
          </w:p>
        </w:tc>
      </w:tr>
      <w:tr w14:paraId="36E7A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225E5CC4">
            <w:pPr>
              <w:widowControl/>
              <w:jc w:val="center"/>
            </w:pPr>
            <w:r>
              <w:rPr>
                <w:rFonts w:hint="eastAsia"/>
              </w:rPr>
              <w:t>3</w:t>
            </w:r>
          </w:p>
        </w:tc>
        <w:tc>
          <w:tcPr>
            <w:tcW w:w="992" w:type="dxa"/>
            <w:vAlign w:val="center"/>
          </w:tcPr>
          <w:p w14:paraId="19198EA4">
            <w:pPr>
              <w:widowControl/>
              <w:jc w:val="center"/>
            </w:pPr>
          </w:p>
        </w:tc>
        <w:tc>
          <w:tcPr>
            <w:tcW w:w="2410" w:type="dxa"/>
            <w:vAlign w:val="center"/>
          </w:tcPr>
          <w:p w14:paraId="0481EF57">
            <w:pPr>
              <w:widowControl/>
              <w:jc w:val="left"/>
            </w:pPr>
          </w:p>
        </w:tc>
        <w:tc>
          <w:tcPr>
            <w:tcW w:w="2410" w:type="dxa"/>
            <w:vAlign w:val="center"/>
          </w:tcPr>
          <w:p w14:paraId="07C79435">
            <w:pPr>
              <w:widowControl/>
              <w:jc w:val="left"/>
              <w:rPr>
                <w:rFonts w:ascii="宋体" w:hAnsi="宋体" w:cs="宋体"/>
                <w:kern w:val="0"/>
                <w:sz w:val="20"/>
                <w:szCs w:val="20"/>
              </w:rPr>
            </w:pPr>
          </w:p>
        </w:tc>
        <w:tc>
          <w:tcPr>
            <w:tcW w:w="3260" w:type="dxa"/>
            <w:vAlign w:val="center"/>
          </w:tcPr>
          <w:p w14:paraId="0E8D6031">
            <w:pPr>
              <w:widowControl/>
              <w:jc w:val="left"/>
              <w:rPr>
                <w:rFonts w:ascii="宋体" w:hAnsi="宋体" w:cs="宋体"/>
                <w:kern w:val="0"/>
                <w:sz w:val="20"/>
                <w:szCs w:val="20"/>
              </w:rPr>
            </w:pPr>
          </w:p>
        </w:tc>
        <w:tc>
          <w:tcPr>
            <w:tcW w:w="3118" w:type="dxa"/>
            <w:vAlign w:val="center"/>
          </w:tcPr>
          <w:p w14:paraId="60AFEE59">
            <w:pPr>
              <w:jc w:val="center"/>
              <w:rPr>
                <w:szCs w:val="21"/>
              </w:rPr>
            </w:pPr>
          </w:p>
        </w:tc>
        <w:tc>
          <w:tcPr>
            <w:tcW w:w="851" w:type="dxa"/>
            <w:vAlign w:val="center"/>
          </w:tcPr>
          <w:p w14:paraId="5857AF29">
            <w:pPr>
              <w:jc w:val="center"/>
              <w:rPr>
                <w:szCs w:val="21"/>
              </w:rPr>
            </w:pPr>
          </w:p>
        </w:tc>
      </w:tr>
      <w:tr w14:paraId="3B807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702A244C">
            <w:pPr>
              <w:widowControl/>
              <w:jc w:val="center"/>
            </w:pPr>
            <w:r>
              <w:rPr>
                <w:rFonts w:hint="eastAsia"/>
              </w:rPr>
              <w:t>4</w:t>
            </w:r>
          </w:p>
        </w:tc>
        <w:tc>
          <w:tcPr>
            <w:tcW w:w="992" w:type="dxa"/>
            <w:vAlign w:val="center"/>
          </w:tcPr>
          <w:p w14:paraId="1BBF72CB">
            <w:pPr>
              <w:widowControl/>
              <w:jc w:val="center"/>
            </w:pPr>
          </w:p>
        </w:tc>
        <w:tc>
          <w:tcPr>
            <w:tcW w:w="2410" w:type="dxa"/>
            <w:vAlign w:val="center"/>
          </w:tcPr>
          <w:p w14:paraId="1AA3A0E7">
            <w:pPr>
              <w:widowControl/>
              <w:jc w:val="left"/>
            </w:pPr>
          </w:p>
        </w:tc>
        <w:tc>
          <w:tcPr>
            <w:tcW w:w="2410" w:type="dxa"/>
            <w:vAlign w:val="center"/>
          </w:tcPr>
          <w:p w14:paraId="12607884">
            <w:pPr>
              <w:widowControl/>
              <w:jc w:val="left"/>
              <w:rPr>
                <w:rFonts w:ascii="宋体" w:hAnsi="宋体" w:cs="宋体"/>
                <w:kern w:val="0"/>
                <w:sz w:val="20"/>
                <w:szCs w:val="20"/>
              </w:rPr>
            </w:pPr>
          </w:p>
        </w:tc>
        <w:tc>
          <w:tcPr>
            <w:tcW w:w="3260" w:type="dxa"/>
            <w:vAlign w:val="center"/>
          </w:tcPr>
          <w:p w14:paraId="19FC1514">
            <w:pPr>
              <w:widowControl/>
              <w:jc w:val="left"/>
              <w:rPr>
                <w:rFonts w:ascii="宋体" w:hAnsi="宋体" w:cs="宋体"/>
                <w:kern w:val="0"/>
                <w:sz w:val="20"/>
                <w:szCs w:val="20"/>
              </w:rPr>
            </w:pPr>
          </w:p>
        </w:tc>
        <w:tc>
          <w:tcPr>
            <w:tcW w:w="3118" w:type="dxa"/>
            <w:vAlign w:val="center"/>
          </w:tcPr>
          <w:p w14:paraId="76C171C9">
            <w:pPr>
              <w:jc w:val="center"/>
              <w:rPr>
                <w:szCs w:val="21"/>
              </w:rPr>
            </w:pPr>
          </w:p>
        </w:tc>
        <w:tc>
          <w:tcPr>
            <w:tcW w:w="851" w:type="dxa"/>
            <w:vAlign w:val="center"/>
          </w:tcPr>
          <w:p w14:paraId="76371DD5">
            <w:pPr>
              <w:jc w:val="center"/>
              <w:rPr>
                <w:szCs w:val="21"/>
              </w:rPr>
            </w:pPr>
          </w:p>
        </w:tc>
      </w:tr>
      <w:tr w14:paraId="6A1CB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4986CF91">
            <w:pPr>
              <w:widowControl/>
              <w:jc w:val="center"/>
            </w:pPr>
            <w:r>
              <w:rPr>
                <w:rFonts w:hint="eastAsia"/>
              </w:rPr>
              <w:t>5</w:t>
            </w:r>
          </w:p>
        </w:tc>
        <w:tc>
          <w:tcPr>
            <w:tcW w:w="992" w:type="dxa"/>
            <w:vAlign w:val="center"/>
          </w:tcPr>
          <w:p w14:paraId="53D5C38B">
            <w:pPr>
              <w:widowControl/>
              <w:jc w:val="center"/>
            </w:pPr>
          </w:p>
        </w:tc>
        <w:tc>
          <w:tcPr>
            <w:tcW w:w="2410" w:type="dxa"/>
            <w:vAlign w:val="center"/>
          </w:tcPr>
          <w:p w14:paraId="4ABB8B7B">
            <w:pPr>
              <w:widowControl/>
              <w:jc w:val="left"/>
            </w:pPr>
          </w:p>
        </w:tc>
        <w:tc>
          <w:tcPr>
            <w:tcW w:w="2410" w:type="dxa"/>
            <w:vAlign w:val="center"/>
          </w:tcPr>
          <w:p w14:paraId="17E2BB50">
            <w:pPr>
              <w:widowControl/>
              <w:jc w:val="left"/>
              <w:rPr>
                <w:rFonts w:ascii="宋体" w:hAnsi="宋体" w:cs="宋体"/>
                <w:kern w:val="0"/>
                <w:sz w:val="20"/>
                <w:szCs w:val="20"/>
              </w:rPr>
            </w:pPr>
          </w:p>
        </w:tc>
        <w:tc>
          <w:tcPr>
            <w:tcW w:w="3260" w:type="dxa"/>
            <w:vAlign w:val="center"/>
          </w:tcPr>
          <w:p w14:paraId="7038A66E">
            <w:pPr>
              <w:widowControl/>
              <w:jc w:val="left"/>
              <w:rPr>
                <w:rFonts w:ascii="宋体" w:hAnsi="宋体" w:cs="宋体"/>
                <w:kern w:val="0"/>
                <w:sz w:val="20"/>
                <w:szCs w:val="20"/>
              </w:rPr>
            </w:pPr>
          </w:p>
        </w:tc>
        <w:tc>
          <w:tcPr>
            <w:tcW w:w="3118" w:type="dxa"/>
            <w:vAlign w:val="center"/>
          </w:tcPr>
          <w:p w14:paraId="4855B6E8">
            <w:pPr>
              <w:jc w:val="center"/>
              <w:rPr>
                <w:szCs w:val="21"/>
              </w:rPr>
            </w:pPr>
          </w:p>
        </w:tc>
        <w:tc>
          <w:tcPr>
            <w:tcW w:w="851" w:type="dxa"/>
            <w:vAlign w:val="center"/>
          </w:tcPr>
          <w:p w14:paraId="1B56C052">
            <w:pPr>
              <w:jc w:val="center"/>
              <w:rPr>
                <w:szCs w:val="21"/>
              </w:rPr>
            </w:pPr>
          </w:p>
        </w:tc>
      </w:tr>
      <w:tr w14:paraId="611AB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6B594E17">
            <w:pPr>
              <w:widowControl/>
              <w:jc w:val="center"/>
            </w:pPr>
            <w:r>
              <w:rPr>
                <w:rFonts w:hint="eastAsia"/>
              </w:rPr>
              <w:t>6</w:t>
            </w:r>
          </w:p>
        </w:tc>
        <w:tc>
          <w:tcPr>
            <w:tcW w:w="992" w:type="dxa"/>
            <w:vAlign w:val="center"/>
          </w:tcPr>
          <w:p w14:paraId="5C15AB8F">
            <w:pPr>
              <w:widowControl/>
              <w:jc w:val="center"/>
            </w:pPr>
          </w:p>
        </w:tc>
        <w:tc>
          <w:tcPr>
            <w:tcW w:w="2410" w:type="dxa"/>
            <w:vAlign w:val="center"/>
          </w:tcPr>
          <w:p w14:paraId="466379AC">
            <w:pPr>
              <w:widowControl/>
              <w:jc w:val="left"/>
            </w:pPr>
          </w:p>
        </w:tc>
        <w:tc>
          <w:tcPr>
            <w:tcW w:w="2410" w:type="dxa"/>
            <w:vAlign w:val="center"/>
          </w:tcPr>
          <w:p w14:paraId="713F8476">
            <w:pPr>
              <w:widowControl/>
              <w:jc w:val="left"/>
              <w:rPr>
                <w:rFonts w:ascii="宋体" w:hAnsi="宋体" w:cs="宋体"/>
                <w:kern w:val="0"/>
                <w:sz w:val="20"/>
                <w:szCs w:val="20"/>
              </w:rPr>
            </w:pPr>
          </w:p>
        </w:tc>
        <w:tc>
          <w:tcPr>
            <w:tcW w:w="3260" w:type="dxa"/>
            <w:vAlign w:val="center"/>
          </w:tcPr>
          <w:p w14:paraId="2CC99FED">
            <w:pPr>
              <w:widowControl/>
              <w:jc w:val="left"/>
              <w:rPr>
                <w:rFonts w:ascii="宋体" w:hAnsi="宋体" w:cs="宋体"/>
                <w:kern w:val="0"/>
                <w:sz w:val="20"/>
                <w:szCs w:val="20"/>
              </w:rPr>
            </w:pPr>
          </w:p>
        </w:tc>
        <w:tc>
          <w:tcPr>
            <w:tcW w:w="3118" w:type="dxa"/>
            <w:vAlign w:val="center"/>
          </w:tcPr>
          <w:p w14:paraId="4E0900B8">
            <w:pPr>
              <w:jc w:val="center"/>
              <w:rPr>
                <w:szCs w:val="21"/>
              </w:rPr>
            </w:pPr>
          </w:p>
        </w:tc>
        <w:tc>
          <w:tcPr>
            <w:tcW w:w="851" w:type="dxa"/>
            <w:vAlign w:val="center"/>
          </w:tcPr>
          <w:p w14:paraId="4A6D6078">
            <w:pPr>
              <w:jc w:val="center"/>
              <w:rPr>
                <w:szCs w:val="21"/>
              </w:rPr>
            </w:pPr>
          </w:p>
        </w:tc>
      </w:tr>
      <w:tr w14:paraId="4EE61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59B7A919">
            <w:pPr>
              <w:widowControl/>
              <w:jc w:val="center"/>
            </w:pPr>
            <w:r>
              <w:rPr>
                <w:rFonts w:hint="eastAsia"/>
              </w:rPr>
              <w:t>7</w:t>
            </w:r>
          </w:p>
        </w:tc>
        <w:tc>
          <w:tcPr>
            <w:tcW w:w="992" w:type="dxa"/>
            <w:vAlign w:val="center"/>
          </w:tcPr>
          <w:p w14:paraId="75DF01F7">
            <w:pPr>
              <w:widowControl/>
              <w:jc w:val="center"/>
            </w:pPr>
          </w:p>
        </w:tc>
        <w:tc>
          <w:tcPr>
            <w:tcW w:w="2410" w:type="dxa"/>
            <w:vAlign w:val="center"/>
          </w:tcPr>
          <w:p w14:paraId="075B516D">
            <w:pPr>
              <w:widowControl/>
              <w:jc w:val="left"/>
            </w:pPr>
          </w:p>
        </w:tc>
        <w:tc>
          <w:tcPr>
            <w:tcW w:w="2410" w:type="dxa"/>
            <w:vAlign w:val="center"/>
          </w:tcPr>
          <w:p w14:paraId="554F7D44">
            <w:pPr>
              <w:widowControl/>
              <w:jc w:val="left"/>
              <w:rPr>
                <w:rFonts w:ascii="宋体" w:hAnsi="宋体" w:cs="宋体"/>
                <w:kern w:val="0"/>
                <w:sz w:val="20"/>
                <w:szCs w:val="20"/>
              </w:rPr>
            </w:pPr>
          </w:p>
        </w:tc>
        <w:tc>
          <w:tcPr>
            <w:tcW w:w="3260" w:type="dxa"/>
            <w:vAlign w:val="center"/>
          </w:tcPr>
          <w:p w14:paraId="65857C28">
            <w:pPr>
              <w:widowControl/>
              <w:jc w:val="left"/>
              <w:rPr>
                <w:rFonts w:ascii="宋体" w:hAnsi="宋体" w:cs="宋体"/>
                <w:kern w:val="0"/>
                <w:sz w:val="20"/>
                <w:szCs w:val="20"/>
              </w:rPr>
            </w:pPr>
          </w:p>
        </w:tc>
        <w:tc>
          <w:tcPr>
            <w:tcW w:w="3118" w:type="dxa"/>
            <w:vAlign w:val="center"/>
          </w:tcPr>
          <w:p w14:paraId="4CF8FE4C">
            <w:pPr>
              <w:jc w:val="center"/>
              <w:rPr>
                <w:szCs w:val="21"/>
              </w:rPr>
            </w:pPr>
          </w:p>
        </w:tc>
        <w:tc>
          <w:tcPr>
            <w:tcW w:w="851" w:type="dxa"/>
            <w:vAlign w:val="center"/>
          </w:tcPr>
          <w:p w14:paraId="07407571">
            <w:pPr>
              <w:jc w:val="center"/>
              <w:rPr>
                <w:szCs w:val="21"/>
              </w:rPr>
            </w:pPr>
          </w:p>
        </w:tc>
      </w:tr>
      <w:tr w14:paraId="74B3B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59" w:type="dxa"/>
            <w:vAlign w:val="center"/>
          </w:tcPr>
          <w:p w14:paraId="6CE54F9C">
            <w:pPr>
              <w:widowControl/>
              <w:jc w:val="center"/>
            </w:pPr>
            <w:r>
              <w:rPr>
                <w:rFonts w:hint="eastAsia"/>
              </w:rPr>
              <w:t>8</w:t>
            </w:r>
          </w:p>
        </w:tc>
        <w:tc>
          <w:tcPr>
            <w:tcW w:w="992" w:type="dxa"/>
            <w:vAlign w:val="center"/>
          </w:tcPr>
          <w:p w14:paraId="342C0EEE">
            <w:pPr>
              <w:widowControl/>
              <w:jc w:val="center"/>
            </w:pPr>
          </w:p>
        </w:tc>
        <w:tc>
          <w:tcPr>
            <w:tcW w:w="2410" w:type="dxa"/>
            <w:vAlign w:val="center"/>
          </w:tcPr>
          <w:p w14:paraId="194592A9">
            <w:pPr>
              <w:widowControl/>
              <w:jc w:val="left"/>
            </w:pPr>
          </w:p>
        </w:tc>
        <w:tc>
          <w:tcPr>
            <w:tcW w:w="2410" w:type="dxa"/>
            <w:vAlign w:val="center"/>
          </w:tcPr>
          <w:p w14:paraId="1D181AD7">
            <w:pPr>
              <w:widowControl/>
              <w:jc w:val="left"/>
              <w:rPr>
                <w:rFonts w:ascii="宋体" w:hAnsi="宋体" w:cs="宋体"/>
                <w:kern w:val="0"/>
                <w:sz w:val="20"/>
                <w:szCs w:val="20"/>
              </w:rPr>
            </w:pPr>
          </w:p>
        </w:tc>
        <w:tc>
          <w:tcPr>
            <w:tcW w:w="3260" w:type="dxa"/>
            <w:vAlign w:val="center"/>
          </w:tcPr>
          <w:p w14:paraId="40CA5B7C">
            <w:pPr>
              <w:widowControl/>
              <w:jc w:val="left"/>
              <w:rPr>
                <w:rFonts w:ascii="宋体" w:hAnsi="宋体" w:cs="宋体"/>
                <w:kern w:val="0"/>
                <w:sz w:val="20"/>
                <w:szCs w:val="20"/>
              </w:rPr>
            </w:pPr>
          </w:p>
        </w:tc>
        <w:tc>
          <w:tcPr>
            <w:tcW w:w="3118" w:type="dxa"/>
            <w:vAlign w:val="center"/>
          </w:tcPr>
          <w:p w14:paraId="2E24726C">
            <w:pPr>
              <w:jc w:val="center"/>
              <w:rPr>
                <w:szCs w:val="21"/>
              </w:rPr>
            </w:pPr>
          </w:p>
        </w:tc>
        <w:tc>
          <w:tcPr>
            <w:tcW w:w="851" w:type="dxa"/>
            <w:vAlign w:val="center"/>
          </w:tcPr>
          <w:p w14:paraId="474672EC">
            <w:pPr>
              <w:jc w:val="center"/>
              <w:rPr>
                <w:szCs w:val="21"/>
              </w:rPr>
            </w:pPr>
          </w:p>
        </w:tc>
      </w:tr>
    </w:tbl>
    <w:p w14:paraId="51D8030F">
      <w:pPr>
        <w:jc w:val="center"/>
        <w:rPr>
          <w:b/>
          <w:szCs w:val="21"/>
        </w:rPr>
      </w:pPr>
    </w:p>
    <w:p w14:paraId="04A770E6">
      <w:pPr>
        <w:jc w:val="center"/>
        <w:rPr>
          <w:sz w:val="24"/>
        </w:rPr>
      </w:pPr>
      <w:r>
        <w:rPr>
          <w:rFonts w:hint="eastAsia"/>
          <w:b/>
          <w:sz w:val="24"/>
        </w:rPr>
        <w:t xml:space="preserve">                               </w:t>
      </w:r>
      <w:r>
        <w:rPr>
          <w:b/>
          <w:sz w:val="24"/>
        </w:rPr>
        <w:t xml:space="preserve"> </w:t>
      </w:r>
      <w:r>
        <w:rPr>
          <w:rFonts w:hint="eastAsia"/>
          <w:b/>
          <w:sz w:val="24"/>
        </w:rPr>
        <w:t xml:space="preserve"> 面试</w:t>
      </w:r>
      <w:r>
        <w:rPr>
          <w:b/>
          <w:sz w:val="24"/>
        </w:rPr>
        <w:t>教师（</w:t>
      </w:r>
      <w:r>
        <w:rPr>
          <w:rFonts w:hint="eastAsia"/>
          <w:b/>
          <w:sz w:val="24"/>
        </w:rPr>
        <w:t>签名</w:t>
      </w:r>
      <w:r>
        <w:rPr>
          <w:b/>
          <w:sz w:val="24"/>
        </w:rPr>
        <w:t>）</w:t>
      </w:r>
      <w:r>
        <w:rPr>
          <w:rFonts w:hint="eastAsia"/>
          <w:b/>
          <w:sz w:val="24"/>
        </w:rPr>
        <w:t xml:space="preserve"> ：     </w:t>
      </w:r>
    </w:p>
    <w:p w14:paraId="400B4D4D">
      <w:pPr>
        <w:ind w:firstLine="720" w:firstLineChars="300"/>
      </w:pPr>
      <w:r>
        <w:rPr>
          <w:rFonts w:hint="eastAsia"/>
          <w:b/>
          <w:sz w:val="24"/>
        </w:rPr>
        <w:t xml:space="preserve">                                                           年     月     日</w:t>
      </w:r>
    </w:p>
    <w:sectPr>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_x000B__x000C_">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zODc4NjY1YTM0OGMwOTdjZWM2MmZmMzkwNDlhOGIifQ=="/>
  </w:docVars>
  <w:rsids>
    <w:rsidRoot w:val="002939B5"/>
    <w:rsid w:val="000528D5"/>
    <w:rsid w:val="00080254"/>
    <w:rsid w:val="000F6275"/>
    <w:rsid w:val="0013381A"/>
    <w:rsid w:val="00136969"/>
    <w:rsid w:val="001441B2"/>
    <w:rsid w:val="00185F1E"/>
    <w:rsid w:val="00256C8A"/>
    <w:rsid w:val="002939B5"/>
    <w:rsid w:val="002A2F40"/>
    <w:rsid w:val="00300647"/>
    <w:rsid w:val="003356E0"/>
    <w:rsid w:val="003549B0"/>
    <w:rsid w:val="004D289D"/>
    <w:rsid w:val="004E55B9"/>
    <w:rsid w:val="00522025"/>
    <w:rsid w:val="00523814"/>
    <w:rsid w:val="00526F2F"/>
    <w:rsid w:val="00540714"/>
    <w:rsid w:val="00591CA4"/>
    <w:rsid w:val="005938C1"/>
    <w:rsid w:val="005B1B44"/>
    <w:rsid w:val="006056E5"/>
    <w:rsid w:val="006C546D"/>
    <w:rsid w:val="006E5BDA"/>
    <w:rsid w:val="006F429D"/>
    <w:rsid w:val="00734BD9"/>
    <w:rsid w:val="007D73CB"/>
    <w:rsid w:val="008A1FC7"/>
    <w:rsid w:val="008C1BA5"/>
    <w:rsid w:val="00983604"/>
    <w:rsid w:val="009A7DF0"/>
    <w:rsid w:val="009B7947"/>
    <w:rsid w:val="009F2E81"/>
    <w:rsid w:val="00AD0BC5"/>
    <w:rsid w:val="00B004D5"/>
    <w:rsid w:val="00B8669C"/>
    <w:rsid w:val="00BD6367"/>
    <w:rsid w:val="00BF7494"/>
    <w:rsid w:val="00C7772A"/>
    <w:rsid w:val="00C93B53"/>
    <w:rsid w:val="00CB76F5"/>
    <w:rsid w:val="00D31AE1"/>
    <w:rsid w:val="00D53F8B"/>
    <w:rsid w:val="00D57FE2"/>
    <w:rsid w:val="00D96CEB"/>
    <w:rsid w:val="00E22A73"/>
    <w:rsid w:val="00E6174F"/>
    <w:rsid w:val="00F35E36"/>
    <w:rsid w:val="00F95F95"/>
    <w:rsid w:val="0474400B"/>
    <w:rsid w:val="05AD7DDA"/>
    <w:rsid w:val="0A095E56"/>
    <w:rsid w:val="154D2D3B"/>
    <w:rsid w:val="163D3199"/>
    <w:rsid w:val="20E432B3"/>
    <w:rsid w:val="23A11F45"/>
    <w:rsid w:val="26DC3DF0"/>
    <w:rsid w:val="2C8E0F3F"/>
    <w:rsid w:val="35D66726"/>
    <w:rsid w:val="412F7DA8"/>
    <w:rsid w:val="42CE2D21"/>
    <w:rsid w:val="437E218F"/>
    <w:rsid w:val="4FC93545"/>
    <w:rsid w:val="4FCE65D9"/>
    <w:rsid w:val="5305400D"/>
    <w:rsid w:val="531B4F35"/>
    <w:rsid w:val="62A33B0F"/>
    <w:rsid w:val="68352B16"/>
    <w:rsid w:val="727D5888"/>
    <w:rsid w:val="78B72487"/>
    <w:rsid w:val="7BC0289C"/>
    <w:rsid w:val="7E373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7"/>
    <w:semiHidden/>
    <w:unhideWhenUsed/>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font01"/>
    <w:basedOn w:val="10"/>
    <w:qFormat/>
    <w:uiPriority w:val="0"/>
    <w:rPr>
      <w:rFonts w:hint="eastAsia" w:ascii="宋体" w:hAnsi="宋体" w:eastAsia="宋体" w:cs="宋体"/>
      <w:color w:val="000000"/>
      <w:sz w:val="22"/>
      <w:szCs w:val="22"/>
      <w:u w:val="none"/>
    </w:rPr>
  </w:style>
  <w:style w:type="character" w:customStyle="1" w:styleId="15">
    <w:name w:val="批注框文本 字符"/>
    <w:basedOn w:val="10"/>
    <w:link w:val="3"/>
    <w:semiHidden/>
    <w:qFormat/>
    <w:uiPriority w:val="99"/>
    <w:rPr>
      <w:kern w:val="2"/>
      <w:sz w:val="18"/>
      <w:szCs w:val="18"/>
    </w:rPr>
  </w:style>
  <w:style w:type="character" w:customStyle="1" w:styleId="16">
    <w:name w:val="批注文字 字符"/>
    <w:basedOn w:val="10"/>
    <w:link w:val="2"/>
    <w:semiHidden/>
    <w:qFormat/>
    <w:uiPriority w:val="99"/>
    <w:rPr>
      <w:kern w:val="2"/>
      <w:sz w:val="21"/>
      <w:szCs w:val="22"/>
    </w:rPr>
  </w:style>
  <w:style w:type="character" w:customStyle="1" w:styleId="17">
    <w:name w:val="批注主题 字符"/>
    <w:basedOn w:val="16"/>
    <w:link w:val="7"/>
    <w:semiHidden/>
    <w:qFormat/>
    <w:uiPriority w:val="99"/>
    <w:rPr>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1014</Words>
  <Characters>1052</Characters>
  <Lines>9</Lines>
  <Paragraphs>2</Paragraphs>
  <TotalTime>78</TotalTime>
  <ScaleCrop>false</ScaleCrop>
  <LinksUpToDate>false</LinksUpToDate>
  <CharactersWithSpaces>1172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2022-12-29T09:17:00Z</dcterms:created>
  <dc:creator>ustc</dc:creator>
  <cp:lastModifiedBy>赵成玮</cp:lastModifiedBy>
  <cp:lastPrinted>2024-12-17T08:13:00Z</cp:lastPrinted>
  <dcterms:modified xsi:type="dcterms:W3CDTF">2025-01-03T02:46:18Z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E6F8D9F56F704317BFF3B173B1AA4DF3_13</vt:lpwstr>
  </property>
  <property fmtid="{D5CDD505-2E9C-101B-9397-08002B2CF9AE}" pid="4" name="KSOTemplateDocerSaveRecord">
    <vt:lpwstr>eyJoZGlkIjoiNTFiZDk4YTgwZWU3MTkwMzcyMTIxNDY3ZGE3ZjcwMWEiLCJ1c2VySWQiOiI1NTAyMDU0NTcifQ==</vt:lpwstr>
  </property>
</Properties>
</file>